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54F" w:rsidRDefault="0022254F" w:rsidP="0022254F">
      <w:r>
        <w:rPr>
          <w:rFonts w:ascii="Arial" w:hAnsi="Arial" w:cs="Arial"/>
        </w:rPr>
        <w:t>Good Afternoon,</w:t>
      </w:r>
      <w:r>
        <w:br/>
      </w:r>
      <w:r>
        <w:br/>
      </w:r>
      <w:r>
        <w:rPr>
          <w:rFonts w:ascii="Arial" w:hAnsi="Arial" w:cs="Arial"/>
        </w:rPr>
        <w:t xml:space="preserve">Based on the </w:t>
      </w:r>
      <w:proofErr w:type="spellStart"/>
      <w:r>
        <w:rPr>
          <w:rFonts w:ascii="Arial" w:hAnsi="Arial" w:cs="Arial"/>
        </w:rPr>
        <w:t>Provincewide</w:t>
      </w:r>
      <w:proofErr w:type="spellEnd"/>
      <w:r>
        <w:rPr>
          <w:rFonts w:ascii="Arial" w:hAnsi="Arial" w:cs="Arial"/>
        </w:rPr>
        <w:t xml:space="preserve"> vaccination rate and continuing improvements in key public health and health system indicators, the Ontario government, in consultation with the Chief Medical Officer of Health, </w:t>
      </w:r>
      <w:r>
        <w:rPr>
          <w:rFonts w:ascii="Arial" w:hAnsi="Arial" w:cs="Arial"/>
          <w:b/>
          <w:bCs/>
        </w:rPr>
        <w:t xml:space="preserve">will move the province into Step One of </w:t>
      </w:r>
      <w:proofErr w:type="spellStart"/>
      <w:r>
        <w:rPr>
          <w:rFonts w:ascii="Arial" w:hAnsi="Arial" w:cs="Arial"/>
          <w:b/>
          <w:bCs/>
        </w:rPr>
        <w:t>its</w:t>
      </w:r>
      <w:hyperlink r:id="rId5" w:history="1">
        <w:r>
          <w:rPr>
            <w:rStyle w:val="Hyperlink"/>
            <w:rFonts w:ascii="Arial" w:hAnsi="Arial" w:cs="Arial"/>
            <w:b/>
            <w:bCs/>
          </w:rPr>
          <w:t>Roadmap</w:t>
        </w:r>
        <w:proofErr w:type="spellEnd"/>
        <w:r>
          <w:rPr>
            <w:rStyle w:val="Hyperlink"/>
            <w:rFonts w:ascii="Arial" w:hAnsi="Arial" w:cs="Arial"/>
            <w:b/>
            <w:bCs/>
          </w:rPr>
          <w:t xml:space="preserve"> to Reopen</w:t>
        </w:r>
      </w:hyperlink>
      <w:r>
        <w:rPr>
          <w:rFonts w:ascii="Arial" w:hAnsi="Arial" w:cs="Arial"/>
          <w:b/>
          <w:bCs/>
        </w:rPr>
        <w:t>at 12:01 a.m. on Friday, June 11, 2021.</w:t>
      </w:r>
      <w:r>
        <w:br/>
      </w:r>
      <w:r>
        <w:br/>
      </w:r>
      <w:r>
        <w:rPr>
          <w:rFonts w:ascii="Arial" w:hAnsi="Arial" w:cs="Arial"/>
        </w:rPr>
        <w:t>Please see the media release from the Province of Ontario below for more information.</w:t>
      </w:r>
      <w:r>
        <w:br/>
      </w:r>
      <w:r>
        <w:br/>
      </w:r>
      <w:r>
        <w:rPr>
          <w:rFonts w:ascii="Arial" w:hAnsi="Arial" w:cs="Arial"/>
        </w:rPr>
        <w:t>Kind Regards</w:t>
      </w:r>
      <w:r>
        <w:rPr>
          <w:rFonts w:ascii="Arial" w:hAnsi="Arial" w:cs="Arial"/>
        </w:rPr>
        <w:br/>
      </w:r>
      <w:r>
        <w:rPr>
          <w:rFonts w:ascii="Arial" w:hAnsi="Arial" w:cs="Arial"/>
        </w:rPr>
        <w:br/>
        <w:t>Daniel Turner</w:t>
      </w:r>
      <w:r>
        <w:br/>
      </w:r>
      <w:r>
        <w:br/>
      </w:r>
      <w:r>
        <w:rPr>
          <w:rFonts w:ascii="Arial" w:hAnsi="Arial" w:cs="Arial"/>
          <w:b/>
          <w:bCs/>
        </w:rPr>
        <w:t>Daniel Turner</w:t>
      </w:r>
      <w:r>
        <w:br/>
      </w:r>
      <w:r>
        <w:rPr>
          <w:rFonts w:ascii="Arial" w:hAnsi="Arial" w:cs="Arial"/>
          <w:b/>
          <w:bCs/>
          <w:color w:val="004080"/>
        </w:rPr>
        <w:t>Economic Development Officer</w:t>
      </w:r>
      <w:r>
        <w:br/>
      </w:r>
      <w:r>
        <w:rPr>
          <w:rFonts w:ascii="Arial" w:hAnsi="Arial" w:cs="Arial"/>
          <w:b/>
          <w:bCs/>
          <w:color w:val="104160"/>
        </w:rPr>
        <w:t>Town of Fort Erie</w:t>
      </w:r>
      <w:r>
        <w:br/>
      </w:r>
      <w:r>
        <w:rPr>
          <w:rFonts w:ascii="Arial" w:hAnsi="Arial" w:cs="Arial"/>
          <w:b/>
          <w:bCs/>
          <w:color w:val="004080"/>
        </w:rPr>
        <w:t>1 Municipal Center Drive, Fort Erie, ON, L2A 2S6</w:t>
      </w:r>
      <w:r>
        <w:br/>
      </w:r>
      <w:r>
        <w:rPr>
          <w:rFonts w:ascii="Arial" w:hAnsi="Arial" w:cs="Arial"/>
          <w:b/>
          <w:bCs/>
          <w:color w:val="004080"/>
        </w:rPr>
        <w:t>905-871-1600x2252 (Office)</w:t>
      </w:r>
      <w:r>
        <w:br/>
      </w:r>
      <w:hyperlink r:id="rId6" w:history="1">
        <w:r>
          <w:rPr>
            <w:rStyle w:val="Hyperlink"/>
            <w:rFonts w:ascii="Arial" w:hAnsi="Arial" w:cs="Arial"/>
            <w:b/>
            <w:bCs/>
          </w:rPr>
          <w:t>dturner@forterie.c</w:t>
        </w:r>
      </w:hyperlink>
      <w:r>
        <w:rPr>
          <w:rFonts w:ascii="Arial" w:hAnsi="Arial" w:cs="Arial"/>
          <w:b/>
          <w:bCs/>
          <w:color w:val="0000FF"/>
          <w:u w:val="single"/>
        </w:rPr>
        <w:t>a</w:t>
      </w:r>
    </w:p>
    <w:tbl>
      <w:tblPr>
        <w:tblW w:w="5000" w:type="pct"/>
        <w:tblCellMar>
          <w:left w:w="0" w:type="dxa"/>
          <w:right w:w="0" w:type="dxa"/>
        </w:tblCellMar>
        <w:tblLook w:val="04A0" w:firstRow="1" w:lastRow="0" w:firstColumn="1" w:lastColumn="0" w:noHBand="0" w:noVBand="1"/>
      </w:tblPr>
      <w:tblGrid>
        <w:gridCol w:w="54"/>
        <w:gridCol w:w="9274"/>
        <w:gridCol w:w="32"/>
      </w:tblGrid>
      <w:tr w:rsidR="0022254F" w:rsidTr="0022254F">
        <w:trPr>
          <w:trHeight w:val="120"/>
        </w:trPr>
        <w:tc>
          <w:tcPr>
            <w:tcW w:w="0" w:type="pct"/>
            <w:tcMar>
              <w:top w:w="15" w:type="dxa"/>
              <w:left w:w="15" w:type="dxa"/>
              <w:bottom w:w="15" w:type="dxa"/>
              <w:right w:w="15" w:type="dxa"/>
            </w:tcMar>
            <w:vAlign w:val="center"/>
            <w:hideMark/>
          </w:tcPr>
          <w:p w:rsidR="0022254F" w:rsidRDefault="0022254F"/>
        </w:tc>
        <w:tc>
          <w:tcPr>
            <w:tcW w:w="4950" w:type="pct"/>
            <w:shd w:val="clear" w:color="auto" w:fill="1A1A1A"/>
            <w:tcMar>
              <w:top w:w="15" w:type="dxa"/>
              <w:left w:w="15" w:type="dxa"/>
              <w:bottom w:w="15" w:type="dxa"/>
              <w:right w:w="15" w:type="dxa"/>
            </w:tcMar>
            <w:vAlign w:val="center"/>
            <w:hideMark/>
          </w:tcPr>
          <w:p w:rsidR="0022254F" w:rsidRDefault="0022254F">
            <w:pPr>
              <w:rPr>
                <w:rFonts w:eastAsia="Times New Roman"/>
                <w:sz w:val="20"/>
                <w:szCs w:val="20"/>
              </w:rPr>
            </w:pPr>
          </w:p>
        </w:tc>
        <w:tc>
          <w:tcPr>
            <w:tcW w:w="0" w:type="pct"/>
            <w:tcMar>
              <w:top w:w="15" w:type="dxa"/>
              <w:left w:w="15" w:type="dxa"/>
              <w:bottom w:w="15" w:type="dxa"/>
              <w:right w:w="15" w:type="dxa"/>
            </w:tcMar>
            <w:vAlign w:val="center"/>
            <w:hideMark/>
          </w:tcPr>
          <w:p w:rsidR="0022254F" w:rsidRDefault="0022254F">
            <w:pPr>
              <w:rPr>
                <w:rFonts w:eastAsia="Times New Roman"/>
                <w:sz w:val="20"/>
                <w:szCs w:val="20"/>
              </w:rPr>
            </w:pPr>
          </w:p>
        </w:tc>
      </w:tr>
      <w:tr w:rsidR="0022254F" w:rsidTr="0022254F">
        <w:trPr>
          <w:trHeight w:val="120"/>
        </w:trPr>
        <w:tc>
          <w:tcPr>
            <w:tcW w:w="0" w:type="auto"/>
            <w:tcMar>
              <w:top w:w="15" w:type="dxa"/>
              <w:left w:w="15" w:type="dxa"/>
              <w:bottom w:w="15" w:type="dxa"/>
              <w:right w:w="15" w:type="dxa"/>
            </w:tcMar>
            <w:vAlign w:val="center"/>
            <w:hideMark/>
          </w:tcPr>
          <w:p w:rsidR="0022254F" w:rsidRDefault="0022254F">
            <w:pPr>
              <w:rPr>
                <w:rFonts w:eastAsia="Times New Roman"/>
                <w:sz w:val="20"/>
                <w:szCs w:val="20"/>
              </w:rPr>
            </w:pPr>
          </w:p>
        </w:tc>
        <w:tc>
          <w:tcPr>
            <w:tcW w:w="0" w:type="auto"/>
            <w:tcMar>
              <w:top w:w="15" w:type="dxa"/>
              <w:left w:w="15" w:type="dxa"/>
              <w:bottom w:w="15" w:type="dxa"/>
              <w:right w:w="15" w:type="dxa"/>
            </w:tcMar>
            <w:vAlign w:val="center"/>
            <w:hideMark/>
          </w:tcPr>
          <w:tbl>
            <w:tblPr>
              <w:tblW w:w="23730" w:type="dxa"/>
              <w:tblCellMar>
                <w:left w:w="0" w:type="dxa"/>
                <w:right w:w="0" w:type="dxa"/>
              </w:tblCellMar>
              <w:tblLook w:val="04A0" w:firstRow="1" w:lastRow="0" w:firstColumn="1" w:lastColumn="0" w:noHBand="0" w:noVBand="1"/>
            </w:tblPr>
            <w:tblGrid>
              <w:gridCol w:w="91"/>
              <w:gridCol w:w="23564"/>
              <w:gridCol w:w="75"/>
            </w:tblGrid>
            <w:tr w:rsidR="0022254F">
              <w:trPr>
                <w:trHeight w:val="120"/>
              </w:trPr>
              <w:tc>
                <w:tcPr>
                  <w:tcW w:w="75" w:type="dxa"/>
                  <w:tcMar>
                    <w:top w:w="15" w:type="dxa"/>
                    <w:left w:w="15" w:type="dxa"/>
                    <w:bottom w:w="15" w:type="dxa"/>
                    <w:right w:w="15" w:type="dxa"/>
                  </w:tcMar>
                  <w:vAlign w:val="center"/>
                  <w:hideMark/>
                </w:tcPr>
                <w:p w:rsidR="0022254F" w:rsidRDefault="0022254F">
                  <w:r>
                    <w:t> </w:t>
                  </w:r>
                </w:p>
              </w:tc>
              <w:tc>
                <w:tcPr>
                  <w:tcW w:w="23490" w:type="dxa"/>
                  <w:tcMar>
                    <w:top w:w="15" w:type="dxa"/>
                    <w:left w:w="15" w:type="dxa"/>
                    <w:bottom w:w="15" w:type="dxa"/>
                    <w:right w:w="15" w:type="dxa"/>
                  </w:tcMar>
                  <w:hideMark/>
                </w:tcPr>
                <w:p w:rsidR="0022254F" w:rsidRDefault="0022254F"/>
              </w:tc>
              <w:tc>
                <w:tcPr>
                  <w:tcW w:w="75" w:type="dxa"/>
                  <w:tcMar>
                    <w:top w:w="15" w:type="dxa"/>
                    <w:left w:w="15" w:type="dxa"/>
                    <w:bottom w:w="15" w:type="dxa"/>
                    <w:right w:w="15" w:type="dxa"/>
                  </w:tcMar>
                  <w:hideMark/>
                </w:tcPr>
                <w:p w:rsidR="0022254F" w:rsidRDefault="0022254F">
                  <w:pPr>
                    <w:rPr>
                      <w:rFonts w:eastAsia="Times New Roman"/>
                      <w:sz w:val="20"/>
                      <w:szCs w:val="20"/>
                    </w:rPr>
                  </w:pPr>
                </w:p>
              </w:tc>
            </w:tr>
            <w:tr w:rsidR="0022254F">
              <w:trPr>
                <w:trHeight w:val="120"/>
              </w:trPr>
              <w:tc>
                <w:tcPr>
                  <w:tcW w:w="75" w:type="dxa"/>
                  <w:tcMar>
                    <w:top w:w="15" w:type="dxa"/>
                    <w:left w:w="15" w:type="dxa"/>
                    <w:bottom w:w="15" w:type="dxa"/>
                    <w:right w:w="15" w:type="dxa"/>
                  </w:tcMar>
                  <w:vAlign w:val="center"/>
                  <w:hideMark/>
                </w:tcPr>
                <w:p w:rsidR="0022254F" w:rsidRDefault="0022254F">
                  <w:pPr>
                    <w:rPr>
                      <w:rFonts w:eastAsia="Times New Roman"/>
                      <w:sz w:val="20"/>
                      <w:szCs w:val="20"/>
                    </w:rPr>
                  </w:pPr>
                </w:p>
              </w:tc>
              <w:tc>
                <w:tcPr>
                  <w:tcW w:w="23490" w:type="dxa"/>
                  <w:tcMar>
                    <w:top w:w="15" w:type="dxa"/>
                    <w:left w:w="15" w:type="dxa"/>
                    <w:bottom w:w="15" w:type="dxa"/>
                    <w:right w:w="15" w:type="dxa"/>
                  </w:tcMar>
                  <w:vAlign w:val="center"/>
                  <w:hideMark/>
                </w:tcPr>
                <w:p w:rsidR="0022254F" w:rsidRDefault="0022254F">
                  <w:r>
                    <w:rPr>
                      <w:b/>
                      <w:bCs/>
                      <w:color w:val="5F5F5F"/>
                      <w:sz w:val="28"/>
                      <w:szCs w:val="28"/>
                    </w:rPr>
                    <w:t>NEWS RELEASE</w:t>
                  </w:r>
                  <w:r>
                    <w:br/>
                  </w:r>
                  <w:r>
                    <w:rPr>
                      <w:b/>
                      <w:bCs/>
                      <w:sz w:val="36"/>
                      <w:szCs w:val="36"/>
                    </w:rPr>
                    <w:t>Ontario to Move to Step One of Roadmap to Reopen on June 11</w:t>
                  </w:r>
                  <w:r>
                    <w:br/>
                  </w:r>
                  <w:r>
                    <w:rPr>
                      <w:sz w:val="34"/>
                      <w:szCs w:val="34"/>
                    </w:rPr>
                    <w:t>Improvements in Key Indicators Allowing Province to Begin the Safe and Gradual Lifting of Public Health Measures</w:t>
                  </w:r>
                  <w:r>
                    <w:br/>
                  </w:r>
                  <w:r>
                    <w:rPr>
                      <w:b/>
                      <w:bCs/>
                    </w:rPr>
                    <w:t>June 07, 2021</w:t>
                  </w:r>
                  <w:r>
                    <w:rPr>
                      <w:color w:val="0000FF"/>
                      <w:u w:val="single"/>
                    </w:rPr>
                    <w:br/>
                  </w:r>
                  <w:hyperlink r:id="rId7" w:tgtFrame="_blank" w:history="1">
                    <w:r>
                      <w:rPr>
                        <w:rStyle w:val="Hyperlink"/>
                      </w:rPr>
                      <w:t>Premier's Office</w:t>
                    </w:r>
                  </w:hyperlink>
                </w:p>
              </w:tc>
              <w:tc>
                <w:tcPr>
                  <w:tcW w:w="75" w:type="dxa"/>
                  <w:tcMar>
                    <w:top w:w="15" w:type="dxa"/>
                    <w:left w:w="15" w:type="dxa"/>
                    <w:bottom w:w="15" w:type="dxa"/>
                    <w:right w:w="15" w:type="dxa"/>
                  </w:tcMar>
                  <w:vAlign w:val="center"/>
                  <w:hideMark/>
                </w:tcPr>
                <w:p w:rsidR="0022254F" w:rsidRDefault="0022254F"/>
              </w:tc>
            </w:tr>
            <w:tr w:rsidR="0022254F">
              <w:trPr>
                <w:trHeight w:val="120"/>
              </w:trPr>
              <w:tc>
                <w:tcPr>
                  <w:tcW w:w="75" w:type="dxa"/>
                  <w:tcMar>
                    <w:top w:w="15" w:type="dxa"/>
                    <w:left w:w="15" w:type="dxa"/>
                    <w:bottom w:w="15" w:type="dxa"/>
                    <w:right w:w="15" w:type="dxa"/>
                  </w:tcMar>
                  <w:vAlign w:val="center"/>
                  <w:hideMark/>
                </w:tcPr>
                <w:p w:rsidR="0022254F" w:rsidRDefault="0022254F">
                  <w:r>
                    <w:t> </w:t>
                  </w:r>
                </w:p>
              </w:tc>
              <w:tc>
                <w:tcPr>
                  <w:tcW w:w="23490" w:type="dxa"/>
                  <w:tcMar>
                    <w:top w:w="15" w:type="dxa"/>
                    <w:left w:w="15" w:type="dxa"/>
                    <w:bottom w:w="15" w:type="dxa"/>
                    <w:right w:w="15" w:type="dxa"/>
                  </w:tcMar>
                  <w:vAlign w:val="center"/>
                  <w:hideMark/>
                </w:tcPr>
                <w:p w:rsidR="0022254F" w:rsidRDefault="0022254F"/>
              </w:tc>
              <w:tc>
                <w:tcPr>
                  <w:tcW w:w="75" w:type="dxa"/>
                  <w:tcMar>
                    <w:top w:w="15" w:type="dxa"/>
                    <w:left w:w="15" w:type="dxa"/>
                    <w:bottom w:w="15" w:type="dxa"/>
                    <w:right w:w="15" w:type="dxa"/>
                  </w:tcMar>
                  <w:vAlign w:val="center"/>
                  <w:hideMark/>
                </w:tcPr>
                <w:p w:rsidR="0022254F" w:rsidRDefault="0022254F">
                  <w:pPr>
                    <w:rPr>
                      <w:rFonts w:eastAsia="Times New Roman"/>
                      <w:sz w:val="20"/>
                      <w:szCs w:val="20"/>
                    </w:rPr>
                  </w:pPr>
                </w:p>
              </w:tc>
            </w:tr>
            <w:tr w:rsidR="0022254F">
              <w:trPr>
                <w:trHeight w:val="120"/>
              </w:trPr>
              <w:tc>
                <w:tcPr>
                  <w:tcW w:w="75" w:type="dxa"/>
                  <w:tcMar>
                    <w:top w:w="15" w:type="dxa"/>
                    <w:left w:w="15" w:type="dxa"/>
                    <w:bottom w:w="15" w:type="dxa"/>
                    <w:right w:w="15" w:type="dxa"/>
                  </w:tcMar>
                  <w:vAlign w:val="center"/>
                  <w:hideMark/>
                </w:tcPr>
                <w:p w:rsidR="0022254F" w:rsidRDefault="0022254F">
                  <w:pPr>
                    <w:rPr>
                      <w:rFonts w:eastAsia="Times New Roman"/>
                      <w:sz w:val="20"/>
                      <w:szCs w:val="20"/>
                    </w:rPr>
                  </w:pPr>
                </w:p>
              </w:tc>
              <w:tc>
                <w:tcPr>
                  <w:tcW w:w="23490" w:type="dxa"/>
                  <w:tcMar>
                    <w:top w:w="15" w:type="dxa"/>
                    <w:left w:w="15" w:type="dxa"/>
                    <w:bottom w:w="15" w:type="dxa"/>
                    <w:right w:w="15" w:type="dxa"/>
                  </w:tcMar>
                  <w:vAlign w:val="center"/>
                  <w:hideMark/>
                </w:tcPr>
                <w:p w:rsidR="0022254F" w:rsidRDefault="0022254F">
                  <w:r>
                    <w:t xml:space="preserve">TORONTO — Based on the </w:t>
                  </w:r>
                  <w:proofErr w:type="spellStart"/>
                  <w:r>
                    <w:t>provincewide</w:t>
                  </w:r>
                  <w:proofErr w:type="spellEnd"/>
                  <w:r>
                    <w:t xml:space="preserve"> vaccination rate and continuing improvements in key public health and health system indicators, the Ontario government, in consultation with the Chief Medical Officer of Health, will move the province into Step One of its </w:t>
                  </w:r>
                  <w:hyperlink r:id="rId8" w:history="1">
                    <w:r>
                      <w:rPr>
                        <w:rStyle w:val="Hyperlink"/>
                      </w:rPr>
                      <w:t>Roadmap to Reopen</w:t>
                    </w:r>
                  </w:hyperlink>
                  <w:r>
                    <w:t xml:space="preserve"> at 12:01 a.m. on Friday, June 11, 2021.</w:t>
                  </w:r>
                  <w:r>
                    <w:br/>
                    <w:t xml:space="preserve">“Thanks to the ongoing success of Team Ontario’s vaccine rollout and the ongoing improvements in public health trends, we are able to enter step one of the Roadmap and begin to safely and cautiously lift restrictions,” said Premier Doug Ford. “The only reason we’re able to do so is because of the enormous sacrifices made by individuals, families and communities across Ontario. As we begin to enjoy the benefits of the first step in our roadmap like meeting friends on a patio or visiting your </w:t>
                  </w:r>
                  <w:proofErr w:type="spellStart"/>
                  <w:r>
                    <w:t>favourite</w:t>
                  </w:r>
                  <w:proofErr w:type="spellEnd"/>
                  <w:r>
                    <w:t xml:space="preserve"> local store, please do so safely by continuing to follow all public health guidelines.”</w:t>
                  </w:r>
                  <w:r>
                    <w:br/>
                    <w:t>In order to safely enter Step One of the Roadmap to Reopen, Ontario needed to have vaccinated 60 per cent of adults with at least one dose for two weeks or longer, ensuring the first dose offers a strong level of protection against COVID-19. As of June 6, 2021 at 8:00 p.m., 72 per cent of the 18+ population in Ontario had received at least one dose of a COVID-19 vaccine with over 10 million doses now having been administered.</w:t>
                  </w:r>
                  <w:r>
                    <w:br/>
                    <w:t xml:space="preserve">Before entering Step One, the province also needed to see continued improvement in key public health and health system indicators. During the period of May 25 to 31, 2021, the provincial case rate decreased by 35.1 per cent. As of June 6, the number of patients with COVID-19 in ICUs is 497, including 31 patients from Manitoba, as compared to 687 two weeks ago. The province’s situation is currently exceeding the best-case scenario presented in </w:t>
                  </w:r>
                  <w:hyperlink r:id="rId9" w:history="1">
                    <w:r>
                      <w:rPr>
                        <w:rStyle w:val="Hyperlink"/>
                      </w:rPr>
                      <w:t>recent modelling</w:t>
                    </w:r>
                  </w:hyperlink>
                  <w:r>
                    <w:t>, which indicated the province would reach below 1,000 new daily infections by June 30, 2021. The province expects these trends to continue over the coming days before entering Step One</w:t>
                  </w:r>
                  <w:proofErr w:type="gramStart"/>
                  <w:r>
                    <w:t>.</w:t>
                  </w:r>
                  <w:proofErr w:type="gramEnd"/>
                  <w:r>
                    <w:br/>
                    <w:t>“Thanks to the tremendous efforts of every Ontarian, beginning June 11 we will be able to cautiously lift public health measures in the settings we know are safest,” said Christine Elliott, Deputy Premier and Minister of Health. “While this is exciting news, as we move to enter Step One of Ontario’s Roadmap it remains critical that all Ontarians continue to follow public health advice and roll up their sleeves to receive the vaccine.”</w:t>
                  </w:r>
                  <w:r>
                    <w:br/>
                    <w:t>Step One of the Roadmap focuses on the resumption of more outdoor activities with smaller crowds where risk of transmission is lower. It will also permit more limited indoor settings to be open, all with restrictions in place. In consultation with the Chief Medical Officer of Health, the Ontario government has amended Step One to also permit indoor religious services, rites and ceremonies, including wedding and funeral services limited to 15 per cent capacity.</w:t>
                  </w:r>
                  <w:r>
                    <w:br/>
                    <w:t>Step One of the Roadmap to Reopen includes but is not limited to:</w:t>
                  </w:r>
                </w:p>
                <w:p w:rsidR="0022254F" w:rsidRDefault="0022254F" w:rsidP="00954615">
                  <w:pPr>
                    <w:numPr>
                      <w:ilvl w:val="0"/>
                      <w:numId w:val="1"/>
                    </w:numPr>
                    <w:spacing w:before="100" w:beforeAutospacing="1" w:after="100" w:afterAutospacing="1"/>
                    <w:rPr>
                      <w:rFonts w:eastAsia="Times New Roman"/>
                    </w:rPr>
                  </w:pPr>
                  <w:r>
                    <w:rPr>
                      <w:rFonts w:eastAsia="Times New Roman"/>
                    </w:rPr>
                    <w:t>Outdoor social gatherings and organized public events with up to 10 people;</w:t>
                  </w:r>
                </w:p>
                <w:p w:rsidR="0022254F" w:rsidRDefault="0022254F" w:rsidP="00954615">
                  <w:pPr>
                    <w:numPr>
                      <w:ilvl w:val="0"/>
                      <w:numId w:val="1"/>
                    </w:numPr>
                    <w:spacing w:before="100" w:beforeAutospacing="1" w:after="100" w:afterAutospacing="1"/>
                    <w:rPr>
                      <w:rFonts w:eastAsia="Times New Roman"/>
                    </w:rPr>
                  </w:pPr>
                  <w:r>
                    <w:rPr>
                      <w:rFonts w:eastAsia="Times New Roman"/>
                    </w:rPr>
                    <w:t xml:space="preserve">Outdoor religious services, rites, or ceremonies, including wedding services and funeral services, capped at the number of people that can maintain a physical distance of two </w:t>
                  </w:r>
                  <w:proofErr w:type="spellStart"/>
                  <w:r>
                    <w:rPr>
                      <w:rFonts w:eastAsia="Times New Roman"/>
                    </w:rPr>
                    <w:t>metres</w:t>
                  </w:r>
                  <w:proofErr w:type="spellEnd"/>
                  <w:r>
                    <w:rPr>
                      <w:rFonts w:eastAsia="Times New Roman"/>
                    </w:rPr>
                    <w:t>;</w:t>
                  </w:r>
                </w:p>
                <w:p w:rsidR="0022254F" w:rsidRDefault="0022254F" w:rsidP="00954615">
                  <w:pPr>
                    <w:numPr>
                      <w:ilvl w:val="0"/>
                      <w:numId w:val="1"/>
                    </w:numPr>
                    <w:spacing w:before="100" w:beforeAutospacing="1" w:after="100" w:afterAutospacing="1"/>
                    <w:rPr>
                      <w:rFonts w:eastAsia="Times New Roman"/>
                    </w:rPr>
                  </w:pPr>
                  <w:r>
                    <w:rPr>
                      <w:rFonts w:eastAsia="Times New Roman"/>
                    </w:rPr>
                    <w:lastRenderedPageBreak/>
                    <w:t>Indoor religious services, rites, or ceremonies, including wedding services and funeral services permitted at up to 15 per cent capacity of the particular room;</w:t>
                  </w:r>
                </w:p>
                <w:p w:rsidR="0022254F" w:rsidRDefault="0022254F" w:rsidP="00954615">
                  <w:pPr>
                    <w:numPr>
                      <w:ilvl w:val="0"/>
                      <w:numId w:val="1"/>
                    </w:numPr>
                    <w:spacing w:before="100" w:beforeAutospacing="1" w:after="100" w:afterAutospacing="1"/>
                    <w:rPr>
                      <w:rFonts w:eastAsia="Times New Roman"/>
                    </w:rPr>
                  </w:pPr>
                  <w:r>
                    <w:rPr>
                      <w:rFonts w:eastAsia="Times New Roman"/>
                    </w:rPr>
                    <w:t>Non-essential retail permitted at 15 per cent capacity, with no restrictions on the goods that can be sold;</w:t>
                  </w:r>
                </w:p>
                <w:p w:rsidR="0022254F" w:rsidRDefault="0022254F" w:rsidP="00954615">
                  <w:pPr>
                    <w:numPr>
                      <w:ilvl w:val="0"/>
                      <w:numId w:val="1"/>
                    </w:numPr>
                    <w:spacing w:before="100" w:beforeAutospacing="1" w:after="100" w:afterAutospacing="1"/>
                    <w:rPr>
                      <w:rFonts w:eastAsia="Times New Roman"/>
                    </w:rPr>
                  </w:pPr>
                  <w:r>
                    <w:rPr>
                      <w:rFonts w:eastAsia="Times New Roman"/>
                    </w:rPr>
                    <w:t>Essential and other select retail permitted at 25 per cent capacity, with no restrictions on the goods that can be sold;</w:t>
                  </w:r>
                </w:p>
                <w:p w:rsidR="0022254F" w:rsidRDefault="0022254F" w:rsidP="00954615">
                  <w:pPr>
                    <w:numPr>
                      <w:ilvl w:val="0"/>
                      <w:numId w:val="1"/>
                    </w:numPr>
                    <w:spacing w:before="100" w:beforeAutospacing="1" w:after="100" w:afterAutospacing="1"/>
                    <w:rPr>
                      <w:rFonts w:eastAsia="Times New Roman"/>
                    </w:rPr>
                  </w:pPr>
                  <w:r>
                    <w:rPr>
                      <w:rFonts w:eastAsia="Times New Roman"/>
                    </w:rPr>
                    <w:t>Outdoor dining with up to four people per table, with exceptions for larger households;</w:t>
                  </w:r>
                </w:p>
                <w:p w:rsidR="0022254F" w:rsidRDefault="0022254F" w:rsidP="00954615">
                  <w:pPr>
                    <w:numPr>
                      <w:ilvl w:val="0"/>
                      <w:numId w:val="1"/>
                    </w:numPr>
                    <w:spacing w:before="100" w:beforeAutospacing="1" w:after="100" w:afterAutospacing="1"/>
                    <w:rPr>
                      <w:rFonts w:eastAsia="Times New Roman"/>
                    </w:rPr>
                  </w:pPr>
                  <w:r>
                    <w:rPr>
                      <w:rFonts w:eastAsia="Times New Roman"/>
                    </w:rPr>
                    <w:t>Outdoor fitness classes, outdoor groups in personal training and outdoor individual/team sport training to be permitted with up to 10 people, among other restrictions;</w:t>
                  </w:r>
                </w:p>
                <w:p w:rsidR="0022254F" w:rsidRDefault="0022254F" w:rsidP="00954615">
                  <w:pPr>
                    <w:numPr>
                      <w:ilvl w:val="0"/>
                      <w:numId w:val="1"/>
                    </w:numPr>
                    <w:spacing w:before="100" w:beforeAutospacing="1" w:after="100" w:afterAutospacing="1"/>
                    <w:rPr>
                      <w:rFonts w:eastAsia="Times New Roman"/>
                    </w:rPr>
                  </w:pPr>
                  <w:r>
                    <w:rPr>
                      <w:rFonts w:eastAsia="Times New Roman"/>
                    </w:rPr>
                    <w:t>Day camps for children permitted to operate in a manner consistent with the safety guidelines for COVID-19 produced by the Office of the Chief Medical Officer of Health;</w:t>
                  </w:r>
                </w:p>
                <w:p w:rsidR="0022254F" w:rsidRDefault="0022254F" w:rsidP="00954615">
                  <w:pPr>
                    <w:numPr>
                      <w:ilvl w:val="0"/>
                      <w:numId w:val="1"/>
                    </w:numPr>
                    <w:spacing w:before="100" w:beforeAutospacing="1" w:after="100" w:afterAutospacing="1"/>
                    <w:rPr>
                      <w:rFonts w:eastAsia="Times New Roman"/>
                    </w:rPr>
                  </w:pPr>
                  <w:r>
                    <w:rPr>
                      <w:rFonts w:eastAsia="Times New Roman"/>
                    </w:rPr>
                    <w:t>Overnight camping at campgrounds and campsites, including Ontario Parks, and short-term rentals;</w:t>
                  </w:r>
                </w:p>
                <w:p w:rsidR="0022254F" w:rsidRDefault="0022254F" w:rsidP="00954615">
                  <w:pPr>
                    <w:numPr>
                      <w:ilvl w:val="0"/>
                      <w:numId w:val="1"/>
                    </w:numPr>
                    <w:spacing w:before="100" w:beforeAutospacing="1" w:after="100" w:afterAutospacing="1"/>
                    <w:rPr>
                      <w:rFonts w:eastAsia="Times New Roman"/>
                    </w:rPr>
                  </w:pPr>
                  <w:r>
                    <w:rPr>
                      <w:rFonts w:eastAsia="Times New Roman"/>
                    </w:rPr>
                    <w:t>Concert venues, theatres and cinemas may open outdoors for the purpose of rehearsing or performing a recorded or broadcasted concert, artistic event, theatrical performance or other performance with no more than 10 performers, among other restrictions;</w:t>
                  </w:r>
                </w:p>
                <w:p w:rsidR="0022254F" w:rsidRDefault="0022254F" w:rsidP="00954615">
                  <w:pPr>
                    <w:numPr>
                      <w:ilvl w:val="0"/>
                      <w:numId w:val="1"/>
                    </w:numPr>
                    <w:spacing w:before="100" w:beforeAutospacing="1" w:after="100" w:afterAutospacing="1"/>
                    <w:rPr>
                      <w:rFonts w:eastAsia="Times New Roman"/>
                    </w:rPr>
                  </w:pPr>
                  <w:r>
                    <w:rPr>
                      <w:rFonts w:eastAsia="Times New Roman"/>
                    </w:rPr>
                    <w:t>Outdoor horse racing tracks and motor speedways permitted to operate without spectators; and</w:t>
                  </w:r>
                </w:p>
                <w:p w:rsidR="0022254F" w:rsidRDefault="0022254F" w:rsidP="00954615">
                  <w:pPr>
                    <w:numPr>
                      <w:ilvl w:val="0"/>
                      <w:numId w:val="1"/>
                    </w:numPr>
                    <w:spacing w:before="100" w:beforeAutospacing="1" w:after="100" w:afterAutospacing="1"/>
                    <w:rPr>
                      <w:rFonts w:eastAsia="Times New Roman"/>
                    </w:rPr>
                  </w:pPr>
                  <w:r>
                    <w:rPr>
                      <w:rFonts w:eastAsia="Times New Roman"/>
                    </w:rPr>
                    <w:t>Outdoor attractions such as zoos, landmarks, historic sites, botanical gardens with capacity and other restrictions.</w:t>
                  </w:r>
                </w:p>
                <w:p w:rsidR="0022254F" w:rsidRDefault="0022254F">
                  <w:r>
                    <w:t xml:space="preserve">In addition, to support students who have worked incredibly hard throughout the pandemic, the government is enabling school boards for public and private elementary and high schools to invite students back for brief outdoor end-of-year celebration. Any in-person school year celebrations will need to meet specific </w:t>
                  </w:r>
                  <w:hyperlink r:id="rId10" w:history="1">
                    <w:r>
                      <w:rPr>
                        <w:rStyle w:val="Hyperlink"/>
                      </w:rPr>
                      <w:t>requirements</w:t>
                    </w:r>
                  </w:hyperlink>
                  <w:r>
                    <w:t>.</w:t>
                  </w:r>
                  <w:r>
                    <w:br/>
                    <w:t>The province will remain in Step One for at least 21 days to evaluate any impacts on key public health and health system indicators. If at the end of the 21 days the province has vaccinated 70 per cent of adults with one dose and 20 per cent of adults with two doses and there are continued improvements in other key public health and health system indicators, the province will move to Step Two of the Roadmap.</w:t>
                  </w:r>
                  <w:r>
                    <w:br/>
                    <w:t>All public health and workplace safety measures currently in place will remain in effect until the province moves to Step One on June 11, 2021 at 12:01 a.m. During this time, the government will continue to work with stakeholders on their reopening plans, including targeted measures for specific sectors, institutions and other settings to ensure that they have full awareness of when they can begin to safely reopen and how.</w:t>
                  </w:r>
                  <w:r>
                    <w:br/>
                    <w:t>“While we have reached the point where we can safely move into Step One, now is not the time to get complacent,” said Dr. David Williams, Chief Medical Officer of Health. “We must all remain vigilant, as the fight against COVID-19 is not over. By continuing to follow public health advice and measures we can continue to reduce transmission, safeguard health system capacity and save lives.”</w:t>
                  </w:r>
                </w:p>
              </w:tc>
              <w:tc>
                <w:tcPr>
                  <w:tcW w:w="75" w:type="dxa"/>
                  <w:tcMar>
                    <w:top w:w="15" w:type="dxa"/>
                    <w:left w:w="15" w:type="dxa"/>
                    <w:bottom w:w="15" w:type="dxa"/>
                    <w:right w:w="15" w:type="dxa"/>
                  </w:tcMar>
                  <w:vAlign w:val="center"/>
                  <w:hideMark/>
                </w:tcPr>
                <w:p w:rsidR="0022254F" w:rsidRDefault="0022254F"/>
              </w:tc>
            </w:tr>
            <w:tr w:rsidR="0022254F">
              <w:trPr>
                <w:trHeight w:val="120"/>
              </w:trPr>
              <w:tc>
                <w:tcPr>
                  <w:tcW w:w="75" w:type="dxa"/>
                  <w:tcMar>
                    <w:top w:w="15" w:type="dxa"/>
                    <w:left w:w="15" w:type="dxa"/>
                    <w:bottom w:w="15" w:type="dxa"/>
                    <w:right w:w="15" w:type="dxa"/>
                  </w:tcMar>
                  <w:vAlign w:val="center"/>
                  <w:hideMark/>
                </w:tcPr>
                <w:p w:rsidR="0022254F" w:rsidRDefault="0022254F">
                  <w:r>
                    <w:t> </w:t>
                  </w:r>
                </w:p>
              </w:tc>
              <w:tc>
                <w:tcPr>
                  <w:tcW w:w="23490" w:type="dxa"/>
                  <w:tcMar>
                    <w:top w:w="15" w:type="dxa"/>
                    <w:left w:w="15" w:type="dxa"/>
                    <w:bottom w:w="15" w:type="dxa"/>
                    <w:right w:w="15" w:type="dxa"/>
                  </w:tcMar>
                  <w:vAlign w:val="center"/>
                  <w:hideMark/>
                </w:tcPr>
                <w:p w:rsidR="0022254F" w:rsidRDefault="0022254F"/>
              </w:tc>
              <w:tc>
                <w:tcPr>
                  <w:tcW w:w="75" w:type="dxa"/>
                  <w:tcMar>
                    <w:top w:w="15" w:type="dxa"/>
                    <w:left w:w="15" w:type="dxa"/>
                    <w:bottom w:w="15" w:type="dxa"/>
                    <w:right w:w="15" w:type="dxa"/>
                  </w:tcMar>
                  <w:vAlign w:val="center"/>
                  <w:hideMark/>
                </w:tcPr>
                <w:p w:rsidR="0022254F" w:rsidRDefault="0022254F">
                  <w:pPr>
                    <w:rPr>
                      <w:rFonts w:eastAsia="Times New Roman"/>
                      <w:sz w:val="20"/>
                      <w:szCs w:val="20"/>
                    </w:rPr>
                  </w:pPr>
                </w:p>
              </w:tc>
            </w:tr>
            <w:tr w:rsidR="0022254F">
              <w:trPr>
                <w:trHeight w:val="120"/>
              </w:trPr>
              <w:tc>
                <w:tcPr>
                  <w:tcW w:w="75" w:type="dxa"/>
                  <w:tcMar>
                    <w:top w:w="15" w:type="dxa"/>
                    <w:left w:w="15" w:type="dxa"/>
                    <w:bottom w:w="15" w:type="dxa"/>
                    <w:right w:w="15" w:type="dxa"/>
                  </w:tcMar>
                  <w:vAlign w:val="center"/>
                  <w:hideMark/>
                </w:tcPr>
                <w:p w:rsidR="0022254F" w:rsidRDefault="0022254F">
                  <w:pPr>
                    <w:rPr>
                      <w:rFonts w:eastAsia="Times New Roman"/>
                      <w:sz w:val="20"/>
                      <w:szCs w:val="20"/>
                    </w:rPr>
                  </w:pPr>
                </w:p>
              </w:tc>
              <w:tc>
                <w:tcPr>
                  <w:tcW w:w="23490" w:type="dxa"/>
                  <w:tcMar>
                    <w:top w:w="15" w:type="dxa"/>
                    <w:left w:w="15" w:type="dxa"/>
                    <w:bottom w:w="15" w:type="dxa"/>
                    <w:right w:w="15" w:type="dxa"/>
                  </w:tcMar>
                  <w:vAlign w:val="center"/>
                  <w:hideMark/>
                </w:tcPr>
                <w:p w:rsidR="0022254F" w:rsidRDefault="0022254F">
                  <w:r>
                    <w:rPr>
                      <w:b/>
                      <w:bCs/>
                      <w:sz w:val="36"/>
                      <w:szCs w:val="36"/>
                    </w:rPr>
                    <w:t>Quick Facts</w:t>
                  </w:r>
                </w:p>
                <w:p w:rsidR="0022254F" w:rsidRDefault="0022254F" w:rsidP="00954615">
                  <w:pPr>
                    <w:numPr>
                      <w:ilvl w:val="0"/>
                      <w:numId w:val="2"/>
                    </w:numPr>
                    <w:spacing w:before="100" w:beforeAutospacing="1" w:after="100" w:afterAutospacing="1"/>
                    <w:rPr>
                      <w:rFonts w:eastAsia="Times New Roman"/>
                    </w:rPr>
                  </w:pPr>
                  <w:r>
                    <w:rPr>
                      <w:rFonts w:eastAsia="Times New Roman"/>
                    </w:rPr>
                    <w:t>Public health and workplace safety measures will continue to apply in Step One, including maintaining physical distance, capacity limits and wearing face coverings in indoor spaces and whenever physical distancing is a challenge.</w:t>
                  </w:r>
                </w:p>
                <w:p w:rsidR="0022254F" w:rsidRDefault="0022254F" w:rsidP="00954615">
                  <w:pPr>
                    <w:numPr>
                      <w:ilvl w:val="0"/>
                      <w:numId w:val="2"/>
                    </w:numPr>
                    <w:spacing w:before="100" w:beforeAutospacing="1" w:after="100" w:afterAutospacing="1"/>
                    <w:rPr>
                      <w:rFonts w:eastAsia="Times New Roman"/>
                    </w:rPr>
                  </w:pPr>
                  <w:r>
                    <w:rPr>
                      <w:rFonts w:eastAsia="Times New Roman"/>
                    </w:rPr>
                    <w:t xml:space="preserve">On </w:t>
                  </w:r>
                  <w:hyperlink r:id="rId11" w:history="1">
                    <w:r>
                      <w:rPr>
                        <w:rStyle w:val="Hyperlink"/>
                        <w:rFonts w:eastAsia="Times New Roman"/>
                      </w:rPr>
                      <w:t>June 2, 2021</w:t>
                    </w:r>
                  </w:hyperlink>
                  <w:r>
                    <w:rPr>
                      <w:rFonts w:eastAsia="Times New Roman"/>
                    </w:rPr>
                    <w:t xml:space="preserve">, Ontario’s Stay-at-Home order was allowed to expire, with most other public health and workplace safety measures being maintained </w:t>
                  </w:r>
                  <w:proofErr w:type="spellStart"/>
                  <w:r>
                    <w:rPr>
                      <w:rFonts w:eastAsia="Times New Roman"/>
                    </w:rPr>
                    <w:t>provincewide</w:t>
                  </w:r>
                  <w:proofErr w:type="spellEnd"/>
                  <w:r>
                    <w:rPr>
                      <w:rFonts w:eastAsia="Times New Roman"/>
                    </w:rPr>
                    <w:t xml:space="preserve"> until Ontario enters Step One of the Roadmap to Reopen.</w:t>
                  </w:r>
                </w:p>
                <w:p w:rsidR="0022254F" w:rsidRDefault="0022254F" w:rsidP="00954615">
                  <w:pPr>
                    <w:numPr>
                      <w:ilvl w:val="0"/>
                      <w:numId w:val="2"/>
                    </w:numPr>
                    <w:spacing w:before="100" w:beforeAutospacing="1" w:after="100" w:afterAutospacing="1"/>
                    <w:rPr>
                      <w:rFonts w:eastAsia="Times New Roman"/>
                    </w:rPr>
                  </w:pPr>
                  <w:r>
                    <w:rPr>
                      <w:rFonts w:eastAsia="Times New Roman"/>
                    </w:rPr>
                    <w:t xml:space="preserve">The Ontario government has released the </w:t>
                  </w:r>
                  <w:hyperlink r:id="rId12" w:history="1">
                    <w:r>
                      <w:rPr>
                        <w:rStyle w:val="Hyperlink"/>
                        <w:rFonts w:eastAsia="Times New Roman"/>
                      </w:rPr>
                      <w:t>Roadmap to Reopen</w:t>
                    </w:r>
                  </w:hyperlink>
                  <w:r>
                    <w:rPr>
                      <w:rFonts w:eastAsia="Times New Roman"/>
                    </w:rPr>
                    <w:t xml:space="preserve">, a three-step plan to safely and cautiously reopen the province and gradually lift public health measures based on the </w:t>
                  </w:r>
                  <w:proofErr w:type="spellStart"/>
                  <w:r>
                    <w:rPr>
                      <w:rFonts w:eastAsia="Times New Roman"/>
                    </w:rPr>
                    <w:t>provincewide</w:t>
                  </w:r>
                  <w:proofErr w:type="spellEnd"/>
                  <w:r>
                    <w:rPr>
                      <w:rFonts w:eastAsia="Times New Roman"/>
                    </w:rPr>
                    <w:t xml:space="preserve"> vaccination rate and improvements in key public health and health care indicators.</w:t>
                  </w:r>
                </w:p>
                <w:p w:rsidR="0022254F" w:rsidRDefault="0022254F" w:rsidP="00954615">
                  <w:pPr>
                    <w:numPr>
                      <w:ilvl w:val="0"/>
                      <w:numId w:val="2"/>
                    </w:numPr>
                    <w:spacing w:before="100" w:beforeAutospacing="1" w:after="100" w:afterAutospacing="1"/>
                    <w:rPr>
                      <w:rFonts w:eastAsia="Times New Roman"/>
                    </w:rPr>
                  </w:pPr>
                  <w:r>
                    <w:rPr>
                      <w:rFonts w:eastAsia="Times New Roman"/>
                    </w:rPr>
                    <w:t xml:space="preserve">On </w:t>
                  </w:r>
                  <w:hyperlink r:id="rId13" w:history="1">
                    <w:r>
                      <w:rPr>
                        <w:rStyle w:val="Hyperlink"/>
                        <w:rFonts w:eastAsia="Times New Roman"/>
                      </w:rPr>
                      <w:t>May 28, 2021</w:t>
                    </w:r>
                  </w:hyperlink>
                  <w:r>
                    <w:rPr>
                      <w:rFonts w:eastAsia="Times New Roman"/>
                    </w:rPr>
                    <w:t xml:space="preserve">, the Ontario government announced it was accelerating the rollout to book second dose vaccine appointments starting with individuals aged 80 and over, beginning on May 31, 2021. On </w:t>
                  </w:r>
                  <w:hyperlink r:id="rId14" w:history="1">
                    <w:r>
                      <w:rPr>
                        <w:rStyle w:val="Hyperlink"/>
                        <w:rFonts w:eastAsia="Times New Roman"/>
                      </w:rPr>
                      <w:t>June 7, 2021</w:t>
                    </w:r>
                  </w:hyperlink>
                  <w:r>
                    <w:rPr>
                      <w:rFonts w:eastAsia="Times New Roman"/>
                    </w:rPr>
                    <w:t>, individuals turning ages 70 and over in 2021, as well as individuals who received their first dose of an mRNA vaccine on or before April 18, 2021, will be eligible to schedule an appointment to receive their second dose of a COVID-19 vaccine through the provincial booking system. If there is sufficient vaccine supply, it is anticipated that the majority of Ontario residents who choose to receive the vaccine will be able to be fully vaccinated by the end of the summer.</w:t>
                  </w:r>
                </w:p>
              </w:tc>
              <w:tc>
                <w:tcPr>
                  <w:tcW w:w="75" w:type="dxa"/>
                  <w:tcMar>
                    <w:top w:w="15" w:type="dxa"/>
                    <w:left w:w="15" w:type="dxa"/>
                    <w:bottom w:w="15" w:type="dxa"/>
                    <w:right w:w="15" w:type="dxa"/>
                  </w:tcMar>
                  <w:vAlign w:val="center"/>
                  <w:hideMark/>
                </w:tcPr>
                <w:p w:rsidR="0022254F" w:rsidRDefault="0022254F" w:rsidP="00954615">
                  <w:pPr>
                    <w:numPr>
                      <w:ilvl w:val="0"/>
                      <w:numId w:val="2"/>
                    </w:numPr>
                    <w:spacing w:before="100" w:beforeAutospacing="1" w:after="100" w:afterAutospacing="1"/>
                    <w:rPr>
                      <w:rFonts w:eastAsia="Times New Roman"/>
                    </w:rPr>
                  </w:pPr>
                </w:p>
              </w:tc>
            </w:tr>
            <w:tr w:rsidR="0022254F">
              <w:trPr>
                <w:trHeight w:val="120"/>
              </w:trPr>
              <w:tc>
                <w:tcPr>
                  <w:tcW w:w="75" w:type="dxa"/>
                  <w:tcMar>
                    <w:top w:w="15" w:type="dxa"/>
                    <w:left w:w="15" w:type="dxa"/>
                    <w:bottom w:w="15" w:type="dxa"/>
                    <w:right w:w="15" w:type="dxa"/>
                  </w:tcMar>
                  <w:vAlign w:val="center"/>
                  <w:hideMark/>
                </w:tcPr>
                <w:p w:rsidR="0022254F" w:rsidRDefault="0022254F">
                  <w:r>
                    <w:t> </w:t>
                  </w:r>
                </w:p>
              </w:tc>
              <w:tc>
                <w:tcPr>
                  <w:tcW w:w="23490" w:type="dxa"/>
                  <w:tcMar>
                    <w:top w:w="15" w:type="dxa"/>
                    <w:left w:w="15" w:type="dxa"/>
                    <w:bottom w:w="15" w:type="dxa"/>
                    <w:right w:w="15" w:type="dxa"/>
                  </w:tcMar>
                  <w:vAlign w:val="center"/>
                  <w:hideMark/>
                </w:tcPr>
                <w:p w:rsidR="0022254F" w:rsidRDefault="0022254F"/>
              </w:tc>
              <w:tc>
                <w:tcPr>
                  <w:tcW w:w="75" w:type="dxa"/>
                  <w:tcMar>
                    <w:top w:w="15" w:type="dxa"/>
                    <w:left w:w="15" w:type="dxa"/>
                    <w:bottom w:w="15" w:type="dxa"/>
                    <w:right w:w="15" w:type="dxa"/>
                  </w:tcMar>
                  <w:vAlign w:val="center"/>
                  <w:hideMark/>
                </w:tcPr>
                <w:p w:rsidR="0022254F" w:rsidRDefault="0022254F">
                  <w:pPr>
                    <w:rPr>
                      <w:rFonts w:eastAsia="Times New Roman"/>
                      <w:sz w:val="20"/>
                      <w:szCs w:val="20"/>
                    </w:rPr>
                  </w:pPr>
                </w:p>
              </w:tc>
            </w:tr>
            <w:tr w:rsidR="0022254F">
              <w:trPr>
                <w:trHeight w:val="120"/>
              </w:trPr>
              <w:tc>
                <w:tcPr>
                  <w:tcW w:w="75" w:type="dxa"/>
                  <w:tcMar>
                    <w:top w:w="15" w:type="dxa"/>
                    <w:left w:w="15" w:type="dxa"/>
                    <w:bottom w:w="15" w:type="dxa"/>
                    <w:right w:w="15" w:type="dxa"/>
                  </w:tcMar>
                  <w:vAlign w:val="center"/>
                  <w:hideMark/>
                </w:tcPr>
                <w:p w:rsidR="0022254F" w:rsidRDefault="0022254F">
                  <w:pPr>
                    <w:rPr>
                      <w:rFonts w:eastAsia="Times New Roman"/>
                      <w:sz w:val="20"/>
                      <w:szCs w:val="20"/>
                    </w:rPr>
                  </w:pPr>
                </w:p>
              </w:tc>
              <w:tc>
                <w:tcPr>
                  <w:tcW w:w="23490" w:type="dxa"/>
                  <w:tcMar>
                    <w:top w:w="15" w:type="dxa"/>
                    <w:left w:w="15" w:type="dxa"/>
                    <w:bottom w:w="15" w:type="dxa"/>
                    <w:right w:w="15" w:type="dxa"/>
                  </w:tcMar>
                  <w:vAlign w:val="center"/>
                  <w:hideMark/>
                </w:tcPr>
                <w:p w:rsidR="0022254F" w:rsidRDefault="0022254F">
                  <w:r>
                    <w:rPr>
                      <w:b/>
                      <w:bCs/>
                      <w:sz w:val="36"/>
                      <w:szCs w:val="36"/>
                    </w:rPr>
                    <w:t>Additional Resources</w:t>
                  </w:r>
                </w:p>
                <w:p w:rsidR="0022254F" w:rsidRDefault="0022254F">
                  <w:r>
                    <w:rPr>
                      <w:rFonts w:ascii="Symbol" w:hAnsi="Symbol"/>
                    </w:rPr>
                    <w:t></w:t>
                  </w:r>
                  <w:r>
                    <w:t xml:space="preserve">  </w:t>
                  </w:r>
                  <w:hyperlink r:id="rId15" w:history="1">
                    <w:r>
                      <w:rPr>
                        <w:rStyle w:val="Hyperlink"/>
                      </w:rPr>
                      <w:t>Ontario Releases Three-Step Roadmap to Safely Reopen the Province</w:t>
                    </w:r>
                  </w:hyperlink>
                </w:p>
                <w:p w:rsidR="0022254F" w:rsidRDefault="0022254F">
                  <w:r>
                    <w:rPr>
                      <w:rFonts w:ascii="Symbol" w:hAnsi="Symbol"/>
                    </w:rPr>
                    <w:t></w:t>
                  </w:r>
                  <w:r>
                    <w:t xml:space="preserve">  </w:t>
                  </w:r>
                  <w:hyperlink r:id="rId16" w:history="1">
                    <w:r>
                      <w:rPr>
                        <w:rStyle w:val="Hyperlink"/>
                      </w:rPr>
                      <w:t>Remote Learning to Continue across Ontario for the Remainder of School Year</w:t>
                    </w:r>
                  </w:hyperlink>
                </w:p>
                <w:p w:rsidR="0022254F" w:rsidRDefault="0022254F">
                  <w:r>
                    <w:rPr>
                      <w:rFonts w:ascii="Symbol" w:hAnsi="Symbol"/>
                    </w:rPr>
                    <w:t></w:t>
                  </w:r>
                  <w:r>
                    <w:t xml:space="preserve">  </w:t>
                  </w:r>
                  <w:hyperlink r:id="rId17" w:history="1">
                    <w:r>
                      <w:rPr>
                        <w:rStyle w:val="Hyperlink"/>
                      </w:rPr>
                      <w:t>Ontario Maintains COVID-19 Restrictions as Stay-at-Home Order is Set to Expire</w:t>
                    </w:r>
                  </w:hyperlink>
                </w:p>
                <w:p w:rsidR="0022254F" w:rsidRDefault="0022254F">
                  <w:r>
                    <w:rPr>
                      <w:rFonts w:ascii="Symbol" w:hAnsi="Symbol"/>
                    </w:rPr>
                    <w:t></w:t>
                  </w:r>
                  <w:r>
                    <w:t xml:space="preserve">  </w:t>
                  </w:r>
                  <w:hyperlink r:id="rId18" w:history="1">
                    <w:r>
                      <w:rPr>
                        <w:rStyle w:val="Hyperlink"/>
                      </w:rPr>
                      <w:t>Ontario Accelerates Rollout of Second Shots Targeting a Two-Dose Summer</w:t>
                    </w:r>
                  </w:hyperlink>
                </w:p>
                <w:p w:rsidR="0022254F" w:rsidRDefault="0022254F">
                  <w:r>
                    <w:rPr>
                      <w:rFonts w:ascii="Symbol" w:hAnsi="Symbol"/>
                    </w:rPr>
                    <w:t></w:t>
                  </w:r>
                  <w:r>
                    <w:t xml:space="preserve">  Visit Ontario’s </w:t>
                  </w:r>
                  <w:hyperlink r:id="rId19" w:history="1">
                    <w:r>
                      <w:rPr>
                        <w:rStyle w:val="Hyperlink"/>
                      </w:rPr>
                      <w:t xml:space="preserve">COVID-19 communications resources web </w:t>
                    </w:r>
                    <w:proofErr w:type="spellStart"/>
                    <w:r>
                      <w:rPr>
                        <w:rStyle w:val="Hyperlink"/>
                      </w:rPr>
                      <w:t>page</w:t>
                    </w:r>
                  </w:hyperlink>
                  <w:r>
                    <w:t>for</w:t>
                  </w:r>
                  <w:proofErr w:type="spellEnd"/>
                  <w:r>
                    <w:t xml:space="preserve"> resources in multiple languages to help local communication efforts.</w:t>
                  </w:r>
                </w:p>
                <w:p w:rsidR="0022254F" w:rsidRDefault="0022254F">
                  <w:r>
                    <w:rPr>
                      <w:rFonts w:ascii="Symbol" w:hAnsi="Symbol"/>
                    </w:rPr>
                    <w:t></w:t>
                  </w:r>
                  <w:r>
                    <w:t xml:space="preserve">  Visit Ontario’s </w:t>
                  </w:r>
                  <w:hyperlink r:id="rId20" w:history="1">
                    <w:proofErr w:type="spellStart"/>
                    <w:r>
                      <w:rPr>
                        <w:rStyle w:val="Hyperlink"/>
                      </w:rPr>
                      <w:t>website</w:t>
                    </w:r>
                  </w:hyperlink>
                  <w:r>
                    <w:t>to</w:t>
                  </w:r>
                  <w:proofErr w:type="spellEnd"/>
                  <w:r>
                    <w:t xml:space="preserve"> find out if you are eligible to receive a COVID-19 vaccine at this time.</w:t>
                  </w:r>
                </w:p>
                <w:p w:rsidR="0022254F" w:rsidRDefault="0022254F">
                  <w:r>
                    <w:rPr>
                      <w:rFonts w:ascii="Symbol" w:hAnsi="Symbol"/>
                    </w:rPr>
                    <w:t></w:t>
                  </w:r>
                  <w:r>
                    <w:t xml:space="preserve">  For up-to-date information on the province’s vaccine rollout and instructions on how to book an appointment, visit Ontario’s </w:t>
                  </w:r>
                  <w:hyperlink r:id="rId21" w:history="1">
                    <w:r>
                      <w:rPr>
                        <w:rStyle w:val="Hyperlink"/>
                      </w:rPr>
                      <w:t>vaccine webpage</w:t>
                    </w:r>
                  </w:hyperlink>
                  <w:r>
                    <w:t>.</w:t>
                  </w:r>
                </w:p>
                <w:p w:rsidR="0022254F" w:rsidRDefault="0022254F">
                  <w:r>
                    <w:rPr>
                      <w:rFonts w:ascii="Symbol" w:hAnsi="Symbol"/>
                    </w:rPr>
                    <w:t></w:t>
                  </w:r>
                  <w:r>
                    <w:t xml:space="preserve">  Visit Ontario’s COVID-19 information </w:t>
                  </w:r>
                  <w:hyperlink r:id="rId22" w:history="1">
                    <w:proofErr w:type="spellStart"/>
                    <w:r>
                      <w:rPr>
                        <w:rStyle w:val="Hyperlink"/>
                      </w:rPr>
                      <w:t>website</w:t>
                    </w:r>
                  </w:hyperlink>
                  <w:r>
                    <w:t>to</w:t>
                  </w:r>
                  <w:proofErr w:type="spellEnd"/>
                  <w:r>
                    <w:t xml:space="preserve"> learn more about how the province continues to protect the people of Ontario from the virus.</w:t>
                  </w:r>
                </w:p>
                <w:p w:rsidR="0022254F" w:rsidRDefault="0022254F">
                  <w:r>
                    <w:rPr>
                      <w:rFonts w:ascii="Symbol" w:hAnsi="Symbol"/>
                    </w:rPr>
                    <w:t></w:t>
                  </w:r>
                  <w:proofErr w:type="gramStart"/>
                  <w:r>
                    <w:t>  For</w:t>
                  </w:r>
                  <w:proofErr w:type="gramEnd"/>
                  <w:r>
                    <w:t xml:space="preserve"> public inquiries call </w:t>
                  </w:r>
                  <w:proofErr w:type="spellStart"/>
                  <w:r>
                    <w:t>ServiceOntario</w:t>
                  </w:r>
                  <w:proofErr w:type="spellEnd"/>
                  <w:r>
                    <w:t xml:space="preserve">, </w:t>
                  </w:r>
                  <w:proofErr w:type="spellStart"/>
                  <w:r>
                    <w:t>INFOline</w:t>
                  </w:r>
                  <w:proofErr w:type="spellEnd"/>
                  <w:r>
                    <w:t xml:space="preserve"> at 1-866-532-3161 (Toll-free in Ontario only).</w:t>
                  </w:r>
                </w:p>
              </w:tc>
              <w:tc>
                <w:tcPr>
                  <w:tcW w:w="75" w:type="dxa"/>
                  <w:tcMar>
                    <w:top w:w="15" w:type="dxa"/>
                    <w:left w:w="15" w:type="dxa"/>
                    <w:bottom w:w="15" w:type="dxa"/>
                    <w:right w:w="15" w:type="dxa"/>
                  </w:tcMar>
                  <w:vAlign w:val="center"/>
                  <w:hideMark/>
                </w:tcPr>
                <w:p w:rsidR="0022254F" w:rsidRDefault="0022254F"/>
              </w:tc>
            </w:tr>
            <w:tr w:rsidR="0022254F">
              <w:trPr>
                <w:trHeight w:val="120"/>
              </w:trPr>
              <w:tc>
                <w:tcPr>
                  <w:tcW w:w="75" w:type="dxa"/>
                  <w:tcMar>
                    <w:top w:w="15" w:type="dxa"/>
                    <w:left w:w="15" w:type="dxa"/>
                    <w:bottom w:w="15" w:type="dxa"/>
                    <w:right w:w="15" w:type="dxa"/>
                  </w:tcMar>
                  <w:vAlign w:val="center"/>
                  <w:hideMark/>
                </w:tcPr>
                <w:p w:rsidR="0022254F" w:rsidRDefault="0022254F">
                  <w:r>
                    <w:t> </w:t>
                  </w:r>
                </w:p>
              </w:tc>
              <w:tc>
                <w:tcPr>
                  <w:tcW w:w="23490" w:type="dxa"/>
                  <w:tcMar>
                    <w:top w:w="15" w:type="dxa"/>
                    <w:left w:w="15" w:type="dxa"/>
                    <w:bottom w:w="15" w:type="dxa"/>
                    <w:right w:w="15" w:type="dxa"/>
                  </w:tcMar>
                  <w:vAlign w:val="center"/>
                  <w:hideMark/>
                </w:tcPr>
                <w:p w:rsidR="0022254F" w:rsidRDefault="0022254F"/>
              </w:tc>
              <w:tc>
                <w:tcPr>
                  <w:tcW w:w="75" w:type="dxa"/>
                  <w:tcMar>
                    <w:top w:w="15" w:type="dxa"/>
                    <w:left w:w="15" w:type="dxa"/>
                    <w:bottom w:w="15" w:type="dxa"/>
                    <w:right w:w="15" w:type="dxa"/>
                  </w:tcMar>
                  <w:vAlign w:val="center"/>
                  <w:hideMark/>
                </w:tcPr>
                <w:p w:rsidR="0022254F" w:rsidRDefault="0022254F">
                  <w:pPr>
                    <w:rPr>
                      <w:rFonts w:eastAsia="Times New Roman"/>
                      <w:sz w:val="20"/>
                      <w:szCs w:val="20"/>
                    </w:rPr>
                  </w:pPr>
                </w:p>
              </w:tc>
            </w:tr>
            <w:tr w:rsidR="0022254F">
              <w:trPr>
                <w:trHeight w:val="120"/>
              </w:trPr>
              <w:tc>
                <w:tcPr>
                  <w:tcW w:w="75" w:type="dxa"/>
                  <w:tcMar>
                    <w:top w:w="15" w:type="dxa"/>
                    <w:left w:w="15" w:type="dxa"/>
                    <w:bottom w:w="15" w:type="dxa"/>
                    <w:right w:w="15" w:type="dxa"/>
                  </w:tcMar>
                  <w:vAlign w:val="center"/>
                  <w:hideMark/>
                </w:tcPr>
                <w:p w:rsidR="0022254F" w:rsidRDefault="0022254F">
                  <w:pPr>
                    <w:rPr>
                      <w:rFonts w:eastAsia="Times New Roman"/>
                      <w:sz w:val="20"/>
                      <w:szCs w:val="20"/>
                    </w:rPr>
                  </w:pPr>
                </w:p>
              </w:tc>
              <w:tc>
                <w:tcPr>
                  <w:tcW w:w="23490" w:type="dxa"/>
                  <w:tcMar>
                    <w:top w:w="15" w:type="dxa"/>
                    <w:left w:w="15" w:type="dxa"/>
                    <w:bottom w:w="15" w:type="dxa"/>
                    <w:right w:w="15" w:type="dxa"/>
                  </w:tcMar>
                  <w:vAlign w:val="center"/>
                  <w:hideMark/>
                </w:tcPr>
                <w:p w:rsidR="0022254F" w:rsidRDefault="0022254F">
                  <w:r>
                    <w:rPr>
                      <w:b/>
                      <w:bCs/>
                      <w:sz w:val="36"/>
                      <w:szCs w:val="36"/>
                    </w:rPr>
                    <w:t xml:space="preserve">Media </w:t>
                  </w:r>
                  <w:proofErr w:type="spellStart"/>
                  <w:r>
                    <w:rPr>
                      <w:b/>
                      <w:bCs/>
                      <w:sz w:val="36"/>
                      <w:szCs w:val="36"/>
                    </w:rPr>
                    <w:t>Contacts</w:t>
                  </w:r>
                  <w:r>
                    <w:t>Ivana</w:t>
                  </w:r>
                  <w:proofErr w:type="spellEnd"/>
                  <w:r>
                    <w:t xml:space="preserve"> </w:t>
                  </w:r>
                  <w:proofErr w:type="spellStart"/>
                  <w:r>
                    <w:t>Yelich</w:t>
                  </w:r>
                  <w:proofErr w:type="spellEnd"/>
                  <w:r>
                    <w:br/>
                    <w:t>Premier's Office</w:t>
                  </w:r>
                  <w:r>
                    <w:rPr>
                      <w:color w:val="0000FF"/>
                      <w:u w:val="single"/>
                    </w:rPr>
                    <w:br/>
                  </w:r>
                  <w:hyperlink r:id="rId23" w:history="1">
                    <w:r>
                      <w:rPr>
                        <w:rStyle w:val="Hyperlink"/>
                      </w:rPr>
                      <w:t>Ivana.Yelich@ontario.ca</w:t>
                    </w:r>
                  </w:hyperlink>
                  <w:r>
                    <w:br/>
                    <w:t xml:space="preserve">Alexandra </w:t>
                  </w:r>
                  <w:proofErr w:type="spellStart"/>
                  <w:r>
                    <w:t>Hilkene</w:t>
                  </w:r>
                  <w:proofErr w:type="spellEnd"/>
                  <w:r>
                    <w:br/>
                    <w:t>Minister Elliott’s Office</w:t>
                  </w:r>
                  <w:r>
                    <w:rPr>
                      <w:color w:val="0000FF"/>
                      <w:u w:val="single"/>
                    </w:rPr>
                    <w:br/>
                  </w:r>
                  <w:hyperlink r:id="rId24" w:history="1">
                    <w:r>
                      <w:rPr>
                        <w:rStyle w:val="Hyperlink"/>
                      </w:rPr>
                      <w:t>Alexandra.Hilkene@ontario.ca</w:t>
                    </w:r>
                  </w:hyperlink>
                </w:p>
              </w:tc>
              <w:tc>
                <w:tcPr>
                  <w:tcW w:w="75" w:type="dxa"/>
                  <w:tcMar>
                    <w:top w:w="15" w:type="dxa"/>
                    <w:left w:w="15" w:type="dxa"/>
                    <w:bottom w:w="15" w:type="dxa"/>
                    <w:right w:w="15" w:type="dxa"/>
                  </w:tcMar>
                  <w:vAlign w:val="center"/>
                  <w:hideMark/>
                </w:tcPr>
                <w:p w:rsidR="0022254F" w:rsidRDefault="0022254F"/>
              </w:tc>
            </w:tr>
            <w:tr w:rsidR="0022254F">
              <w:trPr>
                <w:trHeight w:val="120"/>
              </w:trPr>
              <w:tc>
                <w:tcPr>
                  <w:tcW w:w="75" w:type="dxa"/>
                  <w:tcMar>
                    <w:top w:w="15" w:type="dxa"/>
                    <w:left w:w="15" w:type="dxa"/>
                    <w:bottom w:w="15" w:type="dxa"/>
                    <w:right w:w="15" w:type="dxa"/>
                  </w:tcMar>
                  <w:vAlign w:val="center"/>
                  <w:hideMark/>
                </w:tcPr>
                <w:p w:rsidR="0022254F" w:rsidRDefault="0022254F">
                  <w:r>
                    <w:t> </w:t>
                  </w:r>
                </w:p>
              </w:tc>
              <w:tc>
                <w:tcPr>
                  <w:tcW w:w="23490" w:type="dxa"/>
                  <w:tcMar>
                    <w:top w:w="15" w:type="dxa"/>
                    <w:left w:w="15" w:type="dxa"/>
                    <w:bottom w:w="15" w:type="dxa"/>
                    <w:right w:w="15" w:type="dxa"/>
                  </w:tcMar>
                  <w:vAlign w:val="center"/>
                  <w:hideMark/>
                </w:tcPr>
                <w:p w:rsidR="0022254F" w:rsidRDefault="0022254F"/>
              </w:tc>
              <w:tc>
                <w:tcPr>
                  <w:tcW w:w="75" w:type="dxa"/>
                  <w:tcMar>
                    <w:top w:w="15" w:type="dxa"/>
                    <w:left w:w="15" w:type="dxa"/>
                    <w:bottom w:w="15" w:type="dxa"/>
                    <w:right w:w="15" w:type="dxa"/>
                  </w:tcMar>
                  <w:vAlign w:val="center"/>
                  <w:hideMark/>
                </w:tcPr>
                <w:p w:rsidR="0022254F" w:rsidRDefault="0022254F">
                  <w:pPr>
                    <w:rPr>
                      <w:rFonts w:eastAsia="Times New Roman"/>
                      <w:sz w:val="20"/>
                      <w:szCs w:val="20"/>
                    </w:rPr>
                  </w:pPr>
                </w:p>
              </w:tc>
            </w:tr>
            <w:tr w:rsidR="0022254F">
              <w:trPr>
                <w:trHeight w:val="120"/>
              </w:trPr>
              <w:tc>
                <w:tcPr>
                  <w:tcW w:w="75" w:type="dxa"/>
                  <w:tcMar>
                    <w:top w:w="15" w:type="dxa"/>
                    <w:left w:w="15" w:type="dxa"/>
                    <w:bottom w:w="15" w:type="dxa"/>
                    <w:right w:w="15" w:type="dxa"/>
                  </w:tcMar>
                  <w:vAlign w:val="center"/>
                  <w:hideMark/>
                </w:tcPr>
                <w:p w:rsidR="0022254F" w:rsidRDefault="0022254F">
                  <w:pPr>
                    <w:rPr>
                      <w:rFonts w:eastAsia="Times New Roman"/>
                      <w:sz w:val="20"/>
                      <w:szCs w:val="20"/>
                    </w:rPr>
                  </w:pPr>
                </w:p>
              </w:tc>
              <w:tc>
                <w:tcPr>
                  <w:tcW w:w="23490" w:type="dxa"/>
                  <w:tcMar>
                    <w:top w:w="15" w:type="dxa"/>
                    <w:left w:w="15" w:type="dxa"/>
                    <w:bottom w:w="15" w:type="dxa"/>
                    <w:right w:w="15" w:type="dxa"/>
                  </w:tcMar>
                  <w:vAlign w:val="center"/>
                  <w:hideMark/>
                </w:tcPr>
                <w:p w:rsidR="0022254F" w:rsidRDefault="0022254F">
                  <w:r>
                    <w:rPr>
                      <w:b/>
                      <w:bCs/>
                      <w:sz w:val="16"/>
                      <w:szCs w:val="16"/>
                    </w:rPr>
                    <w:t>We have recently updated Ontario Newsroom Subscription. You may receive additional emails. If you would like to update your subscription preferences or unsubscribe, click the 'manage your subscriptions' or 'unsubscribe' links down below.</w:t>
                  </w:r>
                </w:p>
              </w:tc>
              <w:tc>
                <w:tcPr>
                  <w:tcW w:w="75" w:type="dxa"/>
                  <w:tcMar>
                    <w:top w:w="15" w:type="dxa"/>
                    <w:left w:w="15" w:type="dxa"/>
                    <w:bottom w:w="15" w:type="dxa"/>
                    <w:right w:w="15" w:type="dxa"/>
                  </w:tcMar>
                  <w:vAlign w:val="center"/>
                  <w:hideMark/>
                </w:tcPr>
                <w:p w:rsidR="0022254F" w:rsidRDefault="0022254F"/>
              </w:tc>
            </w:tr>
          </w:tbl>
          <w:p w:rsidR="0022254F" w:rsidRDefault="0022254F">
            <w:pPr>
              <w:rPr>
                <w:rFonts w:eastAsia="Times New Roman"/>
                <w:sz w:val="20"/>
                <w:szCs w:val="20"/>
              </w:rPr>
            </w:pPr>
          </w:p>
        </w:tc>
        <w:tc>
          <w:tcPr>
            <w:tcW w:w="0" w:type="auto"/>
            <w:tcMar>
              <w:top w:w="15" w:type="dxa"/>
              <w:left w:w="15" w:type="dxa"/>
              <w:bottom w:w="15" w:type="dxa"/>
              <w:right w:w="15" w:type="dxa"/>
            </w:tcMar>
            <w:vAlign w:val="center"/>
            <w:hideMark/>
          </w:tcPr>
          <w:p w:rsidR="0022254F" w:rsidRDefault="0022254F">
            <w:pPr>
              <w:rPr>
                <w:rFonts w:eastAsia="Times New Roman"/>
                <w:sz w:val="20"/>
                <w:szCs w:val="20"/>
              </w:rPr>
            </w:pPr>
          </w:p>
        </w:tc>
      </w:tr>
      <w:tr w:rsidR="0022254F" w:rsidTr="0022254F">
        <w:trPr>
          <w:trHeight w:val="120"/>
        </w:trPr>
        <w:tc>
          <w:tcPr>
            <w:tcW w:w="0" w:type="auto"/>
            <w:tcMar>
              <w:top w:w="15" w:type="dxa"/>
              <w:left w:w="15" w:type="dxa"/>
              <w:bottom w:w="15" w:type="dxa"/>
              <w:right w:w="15" w:type="dxa"/>
            </w:tcMar>
            <w:vAlign w:val="center"/>
            <w:hideMark/>
          </w:tcPr>
          <w:p w:rsidR="0022254F" w:rsidRDefault="0022254F">
            <w:r>
              <w:lastRenderedPageBreak/>
              <w:t> </w:t>
            </w:r>
          </w:p>
        </w:tc>
        <w:tc>
          <w:tcPr>
            <w:tcW w:w="0" w:type="auto"/>
            <w:tcMar>
              <w:top w:w="15" w:type="dxa"/>
              <w:left w:w="15" w:type="dxa"/>
              <w:bottom w:w="15" w:type="dxa"/>
              <w:right w:w="15" w:type="dxa"/>
            </w:tcMar>
            <w:vAlign w:val="center"/>
            <w:hideMark/>
          </w:tcPr>
          <w:p w:rsidR="0022254F" w:rsidRDefault="0022254F"/>
        </w:tc>
        <w:tc>
          <w:tcPr>
            <w:tcW w:w="0" w:type="auto"/>
            <w:tcMar>
              <w:top w:w="15" w:type="dxa"/>
              <w:left w:w="15" w:type="dxa"/>
              <w:bottom w:w="15" w:type="dxa"/>
              <w:right w:w="15" w:type="dxa"/>
            </w:tcMar>
            <w:vAlign w:val="center"/>
            <w:hideMark/>
          </w:tcPr>
          <w:p w:rsidR="0022254F" w:rsidRDefault="0022254F">
            <w:pPr>
              <w:rPr>
                <w:rFonts w:eastAsia="Times New Roman"/>
                <w:sz w:val="20"/>
                <w:szCs w:val="20"/>
              </w:rPr>
            </w:pPr>
          </w:p>
        </w:tc>
      </w:tr>
      <w:tr w:rsidR="0022254F" w:rsidTr="0022254F">
        <w:trPr>
          <w:trHeight w:val="120"/>
        </w:trPr>
        <w:tc>
          <w:tcPr>
            <w:tcW w:w="0" w:type="auto"/>
            <w:tcMar>
              <w:top w:w="15" w:type="dxa"/>
              <w:left w:w="15" w:type="dxa"/>
              <w:bottom w:w="15" w:type="dxa"/>
              <w:right w:w="15" w:type="dxa"/>
            </w:tcMar>
            <w:vAlign w:val="center"/>
            <w:hideMark/>
          </w:tcPr>
          <w:p w:rsidR="0022254F" w:rsidRDefault="0022254F">
            <w:pPr>
              <w:rPr>
                <w:rFonts w:eastAsia="Times New Roman"/>
                <w:sz w:val="20"/>
                <w:szCs w:val="20"/>
              </w:rPr>
            </w:pPr>
          </w:p>
        </w:tc>
        <w:tc>
          <w:tcPr>
            <w:tcW w:w="0" w:type="auto"/>
            <w:shd w:val="clear" w:color="auto" w:fill="666666"/>
            <w:tcMar>
              <w:top w:w="15" w:type="dxa"/>
              <w:left w:w="15" w:type="dxa"/>
              <w:bottom w:w="15" w:type="dxa"/>
              <w:right w:w="15" w:type="dxa"/>
            </w:tcMar>
            <w:vAlign w:val="center"/>
            <w:hideMark/>
          </w:tcPr>
          <w:p w:rsidR="0022254F" w:rsidRDefault="0022254F">
            <w:pPr>
              <w:jc w:val="center"/>
            </w:pPr>
            <w:hyperlink r:id="rId25" w:tgtFrame="_blank" w:history="1">
              <w:r>
                <w:rPr>
                  <w:rStyle w:val="Hyperlink"/>
                  <w:color w:val="FFFFFF"/>
                </w:rPr>
                <w:t>Visit the Newsroom</w:t>
              </w:r>
            </w:hyperlink>
            <w:r>
              <w:rPr>
                <w:color w:val="FFFFFF"/>
              </w:rPr>
              <w:br/>
            </w:r>
            <w:hyperlink r:id="rId26" w:tgtFrame="_blank" w:history="1">
              <w:r>
                <w:rPr>
                  <w:rStyle w:val="Hyperlink"/>
                  <w:color w:val="FFFFFF"/>
                </w:rPr>
                <w:t>Manage your subscriptions</w:t>
              </w:r>
            </w:hyperlink>
            <w:r>
              <w:rPr>
                <w:color w:val="FFFFFF"/>
              </w:rPr>
              <w:br/>
            </w:r>
            <w:hyperlink r:id="rId27" w:tgtFrame="_blank" w:history="1">
              <w:r>
                <w:rPr>
                  <w:rStyle w:val="Hyperlink"/>
                  <w:color w:val="FFFFFF"/>
                </w:rPr>
                <w:t>Unsubscribe</w:t>
              </w:r>
            </w:hyperlink>
          </w:p>
        </w:tc>
        <w:tc>
          <w:tcPr>
            <w:tcW w:w="0" w:type="auto"/>
            <w:tcMar>
              <w:top w:w="15" w:type="dxa"/>
              <w:left w:w="15" w:type="dxa"/>
              <w:bottom w:w="15" w:type="dxa"/>
              <w:right w:w="15" w:type="dxa"/>
            </w:tcMar>
            <w:vAlign w:val="center"/>
            <w:hideMark/>
          </w:tcPr>
          <w:p w:rsidR="0022254F" w:rsidRDefault="0022254F"/>
        </w:tc>
      </w:tr>
    </w:tbl>
    <w:p w:rsidR="0022254F" w:rsidRDefault="0022254F" w:rsidP="0022254F">
      <w:r>
        <w:br/>
      </w:r>
      <w:r>
        <w:br/>
      </w:r>
      <w:r>
        <w:br/>
        <w:t>-------------------------------------------</w:t>
      </w:r>
      <w:r>
        <w:br/>
      </w:r>
      <w:r>
        <w:br/>
        <w:t>Thanks for connecting.</w:t>
      </w:r>
      <w:r>
        <w:br/>
      </w:r>
      <w:r>
        <w:br/>
        <w:t xml:space="preserve">For up-to-date information about the Town of Fort Erie’s response to the COVID-19 virus, please visit </w:t>
      </w:r>
      <w:hyperlink r:id="rId28" w:history="1">
        <w:r>
          <w:rPr>
            <w:rStyle w:val="Hyperlink"/>
          </w:rPr>
          <w:t>https://www.forterie.ca/pages/Covid19News</w:t>
        </w:r>
      </w:hyperlink>
      <w:r>
        <w:br/>
      </w:r>
      <w:r>
        <w:br/>
        <w:t xml:space="preserve">We also strongly encourage you to stay-up-to-date with the latest advice from Niagara Region Public Health at </w:t>
      </w:r>
      <w:hyperlink r:id="rId29" w:history="1">
        <w:r>
          <w:rPr>
            <w:rStyle w:val="Hyperlink"/>
          </w:rPr>
          <w:t>https://www.niagararegion.ca/health/covid-19/default.aspx</w:t>
        </w:r>
      </w:hyperlink>
      <w:r>
        <w:br/>
      </w:r>
      <w:r>
        <w:br/>
        <w:t>All critical services, including water and wastewater and road operations as well as fire services will continue to operate to support our community. For after-hours services, including road or wastewater operations, please call 905-871-1600. For emergency assistance from fire services please call 911.</w:t>
      </w:r>
      <w:r>
        <w:br/>
      </w:r>
      <w:r>
        <w:br/>
        <w:t>As many Town staff are focusing on emergency management at this time, we thank you in advance for your patience.</w:t>
      </w:r>
    </w:p>
    <w:p w:rsidR="00B46C65" w:rsidRDefault="00B46C65">
      <w:bookmarkStart w:id="0" w:name="_GoBack"/>
      <w:bookmarkEnd w:id="0"/>
    </w:p>
    <w:sectPr w:rsidR="00B46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56F7E"/>
    <w:multiLevelType w:val="multilevel"/>
    <w:tmpl w:val="E74E4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B1AE9"/>
    <w:multiLevelType w:val="multilevel"/>
    <w:tmpl w:val="23805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4F"/>
    <w:rsid w:val="0022254F"/>
    <w:rsid w:val="00B4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4DFC1-5F5F-486E-9F80-B03DC387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54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2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2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21120259.ct.sendgrid.net/ls/click?upn=n4sOEUdnhhc0w4SJYwLHyTN5dUHlSWbkmua9pOpFqv-2B9ZCPr8UmDIEWXnuxnCyvuKE83eGkNy-2BFUqfYKDdnUgYaMqwvdZ1o8SxCm3WuoZHWezsVn6b-2F4kJ8lz83DeTRUIKWlBfLM7G5uMNjPTPz34g05AoXJ7acGZkqywWz0-2BDifDeR4BqOW7tNOSnM9HaXpNMVW7bSluuVNGu2PJtIgaYjuj7JvwUaORrxtoy4PAPBuHQIJVCxoHOgF20zAJN1VMRDiYe51ylqJuGhdrGwfSG8RJ6clhumBmSwTIpxSijk-3DidsP_7lGrjqMbkuY4DQJdcY-2B8CGx0DSekEOXNCNFZHRJV3NOgDshJpZmmMaoUy7GT8NDpMqmKYFfLVVr32rt-2FRwVTsHoSM40hYkXOI-2FubYfpaw-2FVdMCMfhyx7ogA6KPUlbMOk0O3fxigtj-2BPq8b5Za-2F2luTzhMbI0DQRerrz0EDRexugTtbDzkDOjeYQEQALGie7rAfj1pDODTlvGgRS9gtNMREnPmmsqkjSgcFNybYNjIRI-3D" TargetMode="External"/><Relationship Id="rId13" Type="http://schemas.openxmlformats.org/officeDocument/2006/relationships/hyperlink" Target="https://u21120259.ct.sendgrid.net/ls/click?upn=n4sOEUdnhhc0w4SJYwLHyV-2BP1rtRxUqv2pFG0HPvgfY4RouJx75dL2c319FgU2BHSLT6zK5vjxOZ4GAzHJdSRvk5CgNcM4cThp8tCmTezc2cXTQiJ4ZLkbKnw6F7aUbMxu49oBWqExyJqmFCW-2FInVvJemuu1h8lVsH-2F1f3ciq-2BhOXEKpdbD17-2F8-2Fp9q9I1QjbeMeHWpbwwbtzURrSJTWNEdUxcyFFRt2UUzk9skbDpN9aVgKVZcpcRnmm7YCPafSL2ymHzUCJdzAoxSLJ-2BJMcCrXMBT7SP9RUhFtL5eelUQ23InOT0FCbTXWtTtpZq2u-2B0ZVzeZz5QYTDb289ljqAsPG7vGifo22SryB2OhhF4MEWPpiqBNC3kZmuoA3wlebDDOz_7lGrjqMbkuY4DQJdcY-2B8CGx0DSekEOXNCNFZHRJV3NOgDshJpZmmMaoUy7GT8NDpMqmKYFfLVVr32rt-2FRwVTsBM13yzbxz3zkVuEo2mAB1m4CD107YFZfF9qDGmdqzYOVWgETqz5zj8h8rvoK6uQEgMlGkD6HaQ19Q-2FbE4RGt1clHEdf3Pt1IbZZUng0L7cS-2B8bpgU5yEe-2BxyP84ydYhiYTTyVrkyk-2FOp6f4jRHOe7Y-3D" TargetMode="External"/><Relationship Id="rId18" Type="http://schemas.openxmlformats.org/officeDocument/2006/relationships/hyperlink" Target="https://u21120259.ct.sendgrid.net/ls/click?upn=n4sOEUdnhhc0w4SJYwLHyV-2BP1rtRxUqv2pFG0HPvgfY4RouJx75dL2c319FgU2BHSLT6zK5vjxOZ4GAzHJdSRvk5CgNcM4cThp8tCmTezc2cXTQiJ4ZLkbKnw6F7aUbMxu49oBWqExyJqmFCW-2FInVvJemuu1h8lVsH-2F1f3ciq-2BjM6RQdl35f4fKy6H2F8PH5Le4Vuqz2ABcu3VUspNSIEPxquJJAnMI04fZ9M6tVB4a2KjviHpD-2FoqEfrlRkOsJw67aIgGD6TVqTicuPPHWp561B9-2B0QyHm63CWT0CYH-2BwxrFR9MsQZrs8wWUKrIIH4FQpO8MvcLbdGKjlMCU2wLjY4lAQULC3OVkH1rDcIFPkm7dztIjRf1mk-2Bp2fMRUG6v3-az_7lGrjqMbkuY4DQJdcY-2B8CGx0DSekEOXNCNFZHRJV3NOgDshJpZmmMaoUy7GT8NDpMqmKYFfLVVr32rt-2FRwVTsGA4In70cwqeayeZumfIFs2WwhCH3u71iCCmNV3QEaOyxUr2mt9qfdD9HUkgYE1fuJUTEpyNCVjK24DNWSMwOKTYq9EMHYLxSrDWcF4d6fgQi5UoAWT7wrUYXeupI-2B7-2BxghdMmgp9jg-2FHZysj6ghOxA-3D" TargetMode="External"/><Relationship Id="rId26" Type="http://schemas.openxmlformats.org/officeDocument/2006/relationships/hyperlink" Target="https://u21120259.ct.sendgrid.net/ls/click?upn=n4sOEUdnhhc0w4SJYwLHybm0RfgKL8yO31Iz7igjDND7k1MV4yi-2Bq9ZCxLBD1uWvCfqSBe9bihVQZLB5XNw6XwLfgcM7RsekuWHul538rgz0u3Bc19IkDFFTQJS9kxHDOw1vLfWOGjhYc8L96B4FswYFqZKbW4eKiOQvdZEiatEZQUfNIxYQMUTfTiyhqn8qh50eFgbDarYpvH4Y8v0Ur1JW7k4N3BHwOiV3VR7cfEj8kJozqHCNC29fmvjIaxO9ezXQVkoGC1zsASASbSdlfCaHNFFtg1RoYCqJLWd1s9JRzwqhErOmmWjjhIFUZl0VLGGJ-2FBM36mjDTskI-2F2xKEYZUqW4mbvs7qzAwcjHuXR1TVM55k5X8jaYhqD8kvDrThQg-2B-2BSPaiKYvaFZXOT0-2Beg-3D-3DBxBc_7lGrjqMbkuY4DQJdcY-2B8CGx0DSekEOXNCNFZHRJV3NOgDshJpZmmMaoUy7GT8NDpMqmKYFfLVVr32rt-2FRwVTsPhx83bQAcZkWyY6QBB4qfZzpd0YCOD7DU96MmaIpyMZ3ADkMReKc-2Bg6SrTRB-2B-2FJCrIJrMfAPC-2BJbbLApDxFhaiGzZjBYkO6Hn4pbrYyDMfPS8On7jNkfCNDhwdVYQqTPhfeO2mp0sEIxSmY-2BPMpy-2FI-3D" TargetMode="External"/><Relationship Id="rId3" Type="http://schemas.openxmlformats.org/officeDocument/2006/relationships/settings" Target="settings.xml"/><Relationship Id="rId21" Type="http://schemas.openxmlformats.org/officeDocument/2006/relationships/hyperlink" Target="https://u21120259.ct.sendgrid.net/ls/click?upn=n4sOEUdnhhc0w4SJYwLHyaDJfrdvC8qsZ1TRK-2Bqxx5skWrHM528WfKhCWAcDhMKF5S3n-2FrdjtIGJNY5PRHUGyCy3LxIvJsAXT7Ex-2BO7M-2FkuNBI-2BTk6IO5kpkY7yBDm1hGuLQOFgo1-2BPb3NARJKvZ3QQxpgDFE8c7CbjlY9PkLUOfU0p2-2FGGxeEn99RG5IjKsyQOsh8XMD4Rkxyl7v3-2FcoXO-2FyDTvEbwVXIsC5gQtMYg-2FzgJSFmjAA9AMJJMNnJGOfrNsDRD80xWHK8KePaG-2FNnjiD2rO0f-2BwFXucoBsfLWY-3DNpiv_7lGrjqMbkuY4DQJdcY-2B8CGx0DSekEOXNCNFZHRJV3NOgDshJpZmmMaoUy7GT8NDpMqmKYFfLVVr32rt-2FRwVTsA989i4aqruWZx9F0KeIIOVWKds9XTCAqHzBHcy0Vqq54cgnFRpQkDt9xIH6WIppcdM66YnG2pz2G1rkqya0YHakmhefWa5jPSdEE8jObk-2BTBcZ6YhDOPMui-2BXc-2FC1fEnIxmRjUh9W4PosXRx5r7rdw-3D" TargetMode="External"/><Relationship Id="rId7" Type="http://schemas.openxmlformats.org/officeDocument/2006/relationships/hyperlink" Target="https://u21120259.ct.sendgrid.net/ls/click?upn=n4sOEUdnhhc0w4SJYwLHyV-2BP1rtRxUqv2pFG0HPvgfY-2FcEaqL3T5gjTghPwXZadHGLKOBJ6tE6O6PgbOjNzYJlXqTZRKucaSBgOrrflZY9y4riUS9VeFw42Jc7kXBoY1UwnCT3PX8SScN-2BgTcp8AL606oUBz-2BqjfUxdcPoShjWOXcD9sn4nHi029QqI9-2FfmKt8enIP7hj3nZy74aS4Z3FYQD53elJUb7b-2F0-2BO78AtHvGOFv9HB6Tmd6oyGJYXr1ERCzrykzNUAevOfURlizAAw-3D-3DqjC1_7lGrjqMbkuY4DQJdcY-2B8CGx0DSekEOXNCNFZHRJV3NOgDshJpZmmMaoUy7GT8NDpMqmKYFfLVVr32rt-2FRwVTsJTkn48meD6wku0GRyCgKMcO6-2B4LXvXka9vlbdYl9mRGlKfxIT5oMRFu6SJPX5-2FvaPJTLAYXBt-2B4gLjIcXYEVAxFPhVJmjyGfsJKr-2BmpbJnQZTcRFug-2FnsNqiwPLRqeObNUl-2BSffDiSjnl-2BmuFX0KAc-3D" TargetMode="External"/><Relationship Id="rId12" Type="http://schemas.openxmlformats.org/officeDocument/2006/relationships/hyperlink" Target="https://u21120259.ct.sendgrid.net/ls/click?upn=n4sOEUdnhhc0w4SJYwLHyV-2BP1rtRxUqv2pFG0HPvgfaXas7VgK0-2FMc8a6LkqSVST-2BweaQNbDQjGpyNsyzBADk636gvYViYJZhP70Dofs7qf977SnClYo5NzNGYf3eiFYHVLWbMUkktkW0m9rfSxDwx17FouJJOMaL3OZ7MprrPs60jlaItu5wskq4pQhh8I3s3-2BD3ceNPrVis9A-2BUTLIcS3ZgDCQPxjj148-2BMbpWTWjjC0YmAUFXmtUm7wGqn61f15vP1gZBMUKMpr7pm9t6p-2FGz2OlYj2WDpKfVRzijP6nvFzQl-2BwSjFme85IOzXT0ZPuK__7lGrjqMbkuY4DQJdcY-2B8CGx0DSekEOXNCNFZHRJV3NOgDshJpZmmMaoUy7GT8NDpMqmKYFfLVVr32rt-2FRwVTsFiRiazjBsHDG-2FtK2wcjtP1zwdSgfsWZlPmrq2F6uU4H0zifXuKYHBdqHe-2FDZrBn85XVK03YkVVfIwyBndk1fVYr-2FSAd0JMFbSLo-2Fd57c1Mu5Oej6umMdz-2FSK-2FXX7wSX2jMFo-2F5pnfm2cWwASKdkwnI-3D" TargetMode="External"/><Relationship Id="rId17" Type="http://schemas.openxmlformats.org/officeDocument/2006/relationships/hyperlink" Target="https://u21120259.ct.sendgrid.net/ls/click?upn=n4sOEUdnhhc0w4SJYwLHyV-2BP1rtRxUqv2pFG0HPvgfY4RouJx75dL2c319FgU2BHJV7GeDLl-2FZp7vPNgaJBELYX0lBmJZI9aEw-2Bgt9624m9j2uO2u1sx3lLwqoivYsTWthByDUYMGVi-2F2t-2Fdi-2FIccFKo1H9dnzsk7uQ3k-2B5-2BDAHIBHTsanZwYmdyKjfm3Et2e1yR8NIBlv0N62ZDBfMFo-2BcdIEZk5UguQQXgwO4103aMAhyBvkABQ6PYUGJPKv2ggi4DJNgdKtdXRc6Bj5TtKQX1eN1q-2FeOu3J2jVVJ9cMNruSUgquRdPZppNrzC8t7F1RG7-2BXQGajogE2iliQZA-2BvC0ugVNl-2B0fId4mI-2FwYmZk40PEf3Clc-2Bt-2FZ9jeSbgTQPhJd_7lGrjqMbkuY4DQJdcY-2B8CGx0DSekEOXNCNFZHRJV3NOgDshJpZmmMaoUy7GT8NDpMqmKYFfLVVr32rt-2FRwVTsHhKUD7doEc-2FFoyuEtd5m5VbAELXsyhylP3WR-2BjkvpOjsZKHPDLiFXsGDgf6yhB-2FilnZMGQ8wjGcsv0L7XN3JPPIItJC9vCGXtIpdGu51cfLCk-2BKq62LQ72fugDCXF2tMbb1XJKxaKFDmTOZ82PBwbU-3D" TargetMode="External"/><Relationship Id="rId25" Type="http://schemas.openxmlformats.org/officeDocument/2006/relationships/hyperlink" Target="https://u21120259.ct.sendgrid.net/ls/click?upn=n4sOEUdnhhc0w4SJYwLHyV-2BP1rtRxUqv2pFG0HPvgfb3zxMdBHSkZTxNTPM0VMPHSfe5zZVHqHRk2fGCsjacfzvkoAwrvRhu-2BnoHxwkZFdBZ8q7uEJBHzCAqQeu559vjDagTDntwCcwJztJ3PdaskKEdkznZgGZS2RhzoOxitijVOmoD73mbdz7vruf-2Fnuz5wJXApBe2VqkbD4MnQHks7OqddzuXJ7T-2FDQSVxUteHv1bAZEIe0t9yBcEwtjfYpV7RyYB_7lGrjqMbkuY4DQJdcY-2B8CGx0DSekEOXNCNFZHRJV3NOgDshJpZmmMaoUy7GT8NDpMqmKYFfLVVr32rt-2FRwVTsAB-2BM-2BvA5cp2HC8NR-2BCZap8abqFF6i4PKcSgQia1ZKAukJS4NviA9WIgGX1B-2Fhk3eakFs9PAXsUUogQja1iWvnfCNKjgAa5wNX19WAyGCCGorpxa9iiSpqFF1W6W6ZtLhpSlVI69mXm7wqhVq6taUTY-3D" TargetMode="External"/><Relationship Id="rId2" Type="http://schemas.openxmlformats.org/officeDocument/2006/relationships/styles" Target="styles.xml"/><Relationship Id="rId16" Type="http://schemas.openxmlformats.org/officeDocument/2006/relationships/hyperlink" Target="https://u21120259.ct.sendgrid.net/ls/click?upn=n4sOEUdnhhc0w4SJYwLHyV-2BP1rtRxUqv2pFG0HPvgfY4RouJx75dL2c319FgU2BHgZXK4fdLzW6sIMFmqvgD9-2FCdZ2PXgk7nH-2Bjvvbs3DBYa49jrbHMyehG01SlLTPbiRuUg4aP1bIwaeLI1Z037yVThgADQWYEFybDeZvvaQ-2BJYEPjTtsFg-2Fh8hKliycCLIT4OyJcNGi2AZmiEJwLqRpNhz2CB5GexZe9V1QJD0Au9v5B4mIoFNdJR6pADCcU8CBcjzPpScyDW5hHS6QvXq910ABwbDly1xtKA-2BzQJcnDFFoXXPGvOmiuki0wJr7vKHLPiChhEpUmP4Hffvb8eoAPt5bseIAVZ7CXdsyXaNAXPiSaGm7l8nK1TAWBjaXPGzhYTS_7lGrjqMbkuY4DQJdcY-2B8CGx0DSekEOXNCNFZHRJV3NOgDshJpZmmMaoUy7GT8NDpMqmKYFfLVVr32rt-2FRwVTsMKDnpk0AKQUEi1iMoyr3-2FIOlbxkGjHUbYnsExZ7M2Q0nSnw7WhpvuI7APkS7eFs0neT64-2F8NbW0dBnrnQsfQoF4H2zo6gO0cLy31Rx4zHvqLlUeUymv0UkG7uEL55D7YUWfuMBHc-2B83iZX1FZt2W2Q-3D" TargetMode="External"/><Relationship Id="rId20" Type="http://schemas.openxmlformats.org/officeDocument/2006/relationships/hyperlink" Target="https://u21120259.ct.sendgrid.net/ls/click?upn=n4sOEUdnhhc0w4SJYwLHyaDJfrdvC8qsZ1TRK-2Bqxx5stik39XkjPQkQGlEMe5Ol4IXMqov3xeJfiKUqdOZhoO54E9p4WDkirKPkf8ZuwyRHsNRDlSyqfCjvrJJNWe06WWedqm-2FWRHEzajrDeun4SB0MKUdsITe2dBhxcBdox-2BfyTE5htNq63G6yGnJ-2FahVcbEDK4Lubgp4jlpJuZLXIGkfDU8bR8O0Qda-2BLiiL-2Br1bPcDRhaUSkYDyifVBiqGUq81CZt4uri8lV-2Fp-2BhZQBRrxJ9NKzaxYW3s9dlVtLnXuf5ZaVm4gsO2T8ddkKHoTMVV9KERBvHRWDiXDB87-2FVZlCw-3D-3DfUXG_7lGrjqMbkuY4DQJdcY-2B8CGx0DSekEOXNCNFZHRJV3NOgDshJpZmmMaoUy7GT8NDpMqmKYFfLVVr32rt-2FRwVTsDKYz8E1wiCaDTN-2BN4SbAVbbG2yIlom-2F7dzrQTQA0dY7gJv-2BfripTZEwyQf4MaraRX15B3XQq4zl-2BXyZg6WQ0DtnQfeCJptCD93KMW8gZdxIRR5OdKGbDtLdZtoNUOJ33JSwrkA-2BQDB1LuY41OU5NXI-3D" TargetMode="External"/><Relationship Id="rId29" Type="http://schemas.openxmlformats.org/officeDocument/2006/relationships/hyperlink" Target="https://www.niagararegion.ca/health/covid-19/default.aspx" TargetMode="External"/><Relationship Id="rId1" Type="http://schemas.openxmlformats.org/officeDocument/2006/relationships/numbering" Target="numbering.xml"/><Relationship Id="rId6" Type="http://schemas.openxmlformats.org/officeDocument/2006/relationships/hyperlink" Target="mailto:dturner@forteriecanada.com" TargetMode="External"/><Relationship Id="rId11" Type="http://schemas.openxmlformats.org/officeDocument/2006/relationships/hyperlink" Target="https://u21120259.ct.sendgrid.net/ls/click?upn=n4sOEUdnhhc0w4SJYwLHyV-2BP1rtRxUqv2pFG0HPvgfY4RouJx75dL2c319FgU2BHJV7GeDLl-2FZp7vPNgaJBELYX0lBmJZI9aEw-2Bgt9624m9j2uO2u1sx3lLwqoivYsTWthByDUYMGVi-2F2t-2Fdi-2FIccFKo1H9dnzsk7uQ3k-2B5-2BDAHIBHTsanZwYmdyKjfm3Et2e1yR8NIBlv0N62ZDBfMFo-2BcdIEZk5UguQQXgwO4103aMAhyBvkABQ6PYUGJPKv2ggi4DJNgdKtdXRc6Bj5TtKQX1eN1q-2FeOu3J2jVVJ9cMNruSUgquRdPZppNrzC8t7F1RG7-2BXQGajogE2iliQZA-2BvC0ugVNl-2B0fId4mI-2FwYmZk40PEf3Clc-2Bt-2FZ9jeSbgTQ084Z_7lGrjqMbkuY4DQJdcY-2B8CGx0DSekEOXNCNFZHRJV3NOgDshJpZmmMaoUy7GT8NDpMqmKYFfLVVr32rt-2FRwVTsI76vQ8P0lqBOlCE-2F31xbun3Sn48cLqqdCkaIhqks4Q6XIBQLxxbQnguSaAV2ZYCdgtQtAfNiNN4pzewhQmID-2FXfDm-2Fty-2BI13Xg1OaVugEdpthq5kT45BLpJQVoYUQvdAdYZrytCvk5O0SRoDNyNwLw-3D" TargetMode="External"/><Relationship Id="rId24" Type="http://schemas.openxmlformats.org/officeDocument/2006/relationships/hyperlink" Target="mailto:Alexandra.Hilkene@ontario.ca" TargetMode="External"/><Relationship Id="rId5" Type="http://schemas.openxmlformats.org/officeDocument/2006/relationships/hyperlink" Target="https://www.ontario.ca/page/reopening-ontario?utm_campaign=%2Fen%2Frelease%2F1000279%2Fontario-to-move-to-step-one-of-roadmap-to-reopen-on-june-11&amp;utm_source=newsroom&amp;utm_term=public&amp;utm_medium=email" TargetMode="External"/><Relationship Id="rId15" Type="http://schemas.openxmlformats.org/officeDocument/2006/relationships/hyperlink" Target="https://u21120259.ct.sendgrid.net/ls/click?upn=n4sOEUdnhhc0w4SJYwLHyV-2BP1rtRxUqv2pFG0HPvgfY4RouJx75dL2c319FgU2BHXgqYeEFYHLf9fctbJ700cBqo-2FG1Km-2Bu6wGL7-2BirHCAJt97-2BQHh0YIiQu81q-2F5qcfVXu6mJEspWopWBGFBOi6XkayXN8H2Xl-2FYLCLd97FOkzX6WNCNMkCafOxNbHAf9-2FD-2BhBMWOEzGyrg2H5WD5eAVoPJBzxXtt4T1E5myiYTGDcUv2RZifMhBEiSO0jiuMYl0jV60Y-2B-2Bt0mkKNK7x1AoDW5rukPx0EKxjuhzW8brhpCrA1nsP6n0OL4-2BLbQZUSWI15RQaW0T5H-2FtBc4nKHprEd7igl-2BYEcMWoTNdjqRqzbg-3D7myH_7lGrjqMbkuY4DQJdcY-2B8CGx0DSekEOXNCNFZHRJV3NOgDshJpZmmMaoUy7GT8NDpMqmKYFfLVVr32rt-2FRwVTsIl9-2Bf2oWZw1yPPepOfTdHtpcVj1PezqY8el7x-2F9ZrraOoIGyaKQCTHRHprvQImdZO7czGZEmXvjpen9fVcpHoAfCrPpK-2BGuxqM78o1HdHRVo-2FV2EB-2BsPAbgQ39nzib-2B4PeyZGnUbsXMu7wfD9iWnUk-3D" TargetMode="External"/><Relationship Id="rId23" Type="http://schemas.openxmlformats.org/officeDocument/2006/relationships/hyperlink" Target="mailto:Ivana.Yelich@ontario.ca%0d" TargetMode="External"/><Relationship Id="rId28" Type="http://schemas.openxmlformats.org/officeDocument/2006/relationships/hyperlink" Target="https://www.forterie.ca/pages/Covid19News" TargetMode="External"/><Relationship Id="rId10" Type="http://schemas.openxmlformats.org/officeDocument/2006/relationships/hyperlink" Target="https://u21120259.ct.sendgrid.net/ls/click?upn=n4sOEUdnhhc0w4SJYwLHyTN5dUHlSWbkmua9pOpFqv-2FdgYomJW9Rbqg2dGrUnuzoLYOHP0b9uD50KQdyhlw7pKB8N9zcJ94O2DaDb9vrdLFjOWDv6hSm8VLaA7Wolwf44ttDwOF0qQqzFvY25vVzhpfHy9QnVqzyRFY8XQvfQLoi4XfCYPO1awyIcrydWUuWDuyJKYt5muYhuBqN-2FoWjXz0VmPZ50uLJza5PqU9py6OuOV4GL1Hb6g2p7UZg45O7-2Be3bBjen6k04HK96uzgcRkLeKFxutq-2FUc-2FXEiF0rpyxZ31Mkgtq-2BgznnHGfv-2FG34tE5rVPCfiTpifJ0R9JgGkw-3D-3DvFJB_7lGrjqMbkuY4DQJdcY-2B8CGx0DSekEOXNCNFZHRJV3NOgDshJpZmmMaoUy7GT8NDpMqmKYFfLVVr32rt-2FRwVTsPU4br3yd4-2BT0RLiKk2UKZwiDTWbaMvoCjRqXR1hL6NhAwMNKihDp2XrMtBHzJh3bX8bgfRK4MasRPeUBEq4cytdS2rGzE9GIDnN9GnjaqwsSkLZz6VIVhqs6o-2BE9RRUzwJlL0G50IiEMf1fnnnBwBw-3D" TargetMode="External"/><Relationship Id="rId19" Type="http://schemas.openxmlformats.org/officeDocument/2006/relationships/hyperlink" Target="https://u21120259.ct.sendgrid.net/ls/click?upn=n4sOEUdnhhc0w4SJYwLHyTN5dUHlSWbkmua9pOpFqv8iKKNaHVPgDgPOIzwRlxceGgGHchlJ0mKmO6Lo4LAeJ0zLsp6c8pTwJDFlo2aiGdLwgKacR2Agr6PblDeIJCKhaofx1PrJueq803c-2FSHSY8crO-2F5tG2nTe-2B2qN3J5izCQo3ojv-2FsGzhkagI4vgbvyydQi5w0qpkz8EtqIt2x1yd5Hld-2F2zWPZc9AZ-2BzWcSvGSee-2BXzxDYf0MeqyAkh7YLrh3K4vKNNkDdtCIB5-2B3ZVVaHpxfyTEoXW3bc-2Fo-2BhfQhU-3Dvay3_7lGrjqMbkuY4DQJdcY-2B8CGx0DSekEOXNCNFZHRJV3NOgDshJpZmmMaoUy7GT8NDpMqmKYFfLVVr32rt-2FRwVTsBTe1fXDZdw1AWZE8TGkip-2BplmTEGlxxcCCnoZMu7WCePBpxSMT5BU6hDCjNjYUZBoYmz4LVhOImFOrXYyAn278LQU0HwhJ7WvVGnQWsYAlxLnMuvQVse7Y0GMLMh-2BzOiiMDYe-2Bpyjfp5OcnFhb6LvE-3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21120259.ct.sendgrid.net/ls/click?upn=n4sOEUdnhhc0w4SJYwLHydNxow8Bvay4PNo5UxUTm2mSPu1sQeLcxdTJBk-2BCla3Kd3geicLfhPH72ccBxoEEp4YsxXK1yaHedkOHq5XfJluaFEiOcbFhTpO7socrHAb8IQ8jz0ntfJs-2BpCvLzXXUZLK121US5iYD0BSwKo2AmzZYQpL14hzvBOHh75NVio51p2VU2-2ByPJva0gYzLzrl8zbG4Q546PSMQDsUumm9wDSYcCUv4zTeXoCC0q7PEfDesefpHJuPUzWm1B792aRQOc-2FxTlLVYvgYeaoATuloshJKzvlDQ6y8-2FVzYKPkOpoe-2FY0Y8wp7OutEiKkyerw-2FkHfDFROM7BdG9k5Uu6Qp8UdxaTL6-2FEuuVBfj5k5HVt0ACDZLJp_7lGrjqMbkuY4DQJdcY-2B8CGx0DSekEOXNCNFZHRJV3NOgDshJpZmmMaoUy7GT8NDpMqmKYFfLVVr32rt-2FRwVTsA-2FAEV7rg7ITmGUBe5hSpQHBXndzLFdbPImAFiSRzE4yAzlykj1R-2B7O9yzRYzdiSSGkto4ckHgYhVMm49R4EWbKfjMLOGA1-2BXz-2Be-2Be20347ZMyep7rBg1YEbT0tr18Tv2IzoAya3ZVCbW5W70ACauiA-3D" TargetMode="External"/><Relationship Id="rId14" Type="http://schemas.openxmlformats.org/officeDocument/2006/relationships/hyperlink" Target="https://u21120259.ct.sendgrid.net/ls/click?upn=n4sOEUdnhhc0w4SJYwLHyV-2BP1rtRxUqv2pFG0HPvgfY4RouJx75dL2c319FgU2BHXXgq7V1AjapQHiYeAUMbzcYegCyWJnA-2BHRx-2B6Kc0SInJyUiarV-2F3SdoBdj85XgG1-2BB4AD6pVu60BQBgTF-2Bt0yIasvcYL-2BcGUPFI2I9UOWWHbAsTGg5ci2bSGy9tPxC3Dq-2BwinQKxAsRrUA7ReMBBVCQbW-2B-2BhMz69KC7yH5MKwMuzxiYIvSugYPK5zt4Xp42E2E0qwvp98eYULTaEuqJJdlmYIj3tcipXX1Z3o1jDyKW-2BiRBVdGvM-2FL2U9LFYIDHbXK8ZSbnNdU9Vkc0Lu60pffkIExkp9rP8cHaq2uOQq85NfcqaCn-2FcCM9rRJDRSBsJrmOmmLnozQqulrchk-2FXxmA-3D-3D2_Iy_7lGrjqMbkuY4DQJdcY-2B8CGx0DSekEOXNCNFZHRJV3NOgDshJpZmmMaoUy7GT8NDpMqmKYFfLVVr32rt-2FRwVTsJWtsyRjFWd7oQ6kiKGtgCEbsNT0VhUjRvEgwEpu0T6ie7wCJQdbf57CZCEyoRbl0jAOhe7ULE9JipGW1t8DQ9izIEIuyDkjJRPVE46p08cw2f-2FY2fPlxR52bWiSNkueZsKo5jqbANQ8iO8bvENM-2BIQ-3D" TargetMode="External"/><Relationship Id="rId22" Type="http://schemas.openxmlformats.org/officeDocument/2006/relationships/hyperlink" Target="https://u21120259.ct.sendgrid.net/ls/click?upn=n4sOEUdnhhc0w4SJYwLHyaDJfrdvC8qsZ1TRK-2Bqxx5tUvgtfjT9-2BbftyNFHbsKn0aW1CDAFq9wnzM9ado8vdC0tpuyRdiAU2vSCen6vnIi2Z97jcPhs5DmhITZUEBpaFj8MU7rsrgSOmqVfYLHg99MRgONjSPw2Rz9MddikYLSExdD0MXpDbMvW4rwDkrz4QZ6J63Wxp3Xb2IilxUOaRBBCTGrgBciLqYqafX-2B7oFj5rYO1opN70SALqZDqS55kuWz5K_7lGrjqMbkuY4DQJdcY-2B8CGx0DSekEOXNCNFZHRJV3NOgDshJpZmmMaoUy7GT8NDpMqmKYFfLVVr32rt-2FRwVTsMXAJGx0gAQbw4Ji5pahqfFhAZ0sEgFd-2F20QxCjYAc9tYd1J8aafMAPm0wYxTOKfxzAW4idZNeuGEoFpZoF6lo4z5eeyQPUyMLMSGcjAN2B-2F9c2-2FIQcaBbF93bWIfu-2BQfpJxLsJMhM4qm9LDbfC1v-2F0-3D" TargetMode="External"/><Relationship Id="rId27" Type="http://schemas.openxmlformats.org/officeDocument/2006/relationships/hyperlink" Target="https://u21120259.ct.sendgrid.net/ls/click?upn=n4sOEUdnhhc0w4SJYwLHybm0RfgKL8yO31Iz7igjDNDJkKIgxC85IGuFStNfZ45E-2BWDU356psztLXUR9ZYMbmgEfUrjySjFbcf4QfKuTkiNrJM5Jtis5nCGCbcDT9f3qVhpx6v5o5zengc3fr8ZHtVzbYyGmfEKbfLTsinTr0yUMM5x8aBxI32JTeq9hP7H-2F1yBAMLfIoq05y0pTctDojj-2BlPuQLkvxD1zA9SuxMw5QRnXlNNndtrCXio-2Fd5RjlOlu0mfvksfIo-2BXpcJnvIp30Q4P6W3Qae7Ofqqxq6uOWz6yVWWY4wz1GXVSDQtxURSi9BRIHzgzwiJo-2F-2FmzAq9wC16rqBzuHB3QdaqiTfz7ZBTq5cevZ4KcNT4l9-2B87-2BDwCmlU_7lGrjqMbkuY4DQJdcY-2B8CGx0DSekEOXNCNFZHRJV3NOgDshJpZmmMaoUy7GT8NDpMqmKYFfLVVr32rt-2FRwVTsJlUX3kZgWkbqNYLXHO2gaClDGVmT-2BS-2FEWb-2Blc8hY-2B-2BeSFB-2FyYTsGnWNoyGPaAmgIJUewar8MPMsrI7YPiU1EMVL42Q-2FXDmyNRGvQIr37cLBiNM85Y7-2FFgsXCNzYYGM79HKvUJEx-2FZt1lIghwA6adG0-3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3611</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Beach</dc:creator>
  <cp:keywords/>
  <dc:description/>
  <cp:lastModifiedBy>Linda Beach</cp:lastModifiedBy>
  <cp:revision>1</cp:revision>
  <dcterms:created xsi:type="dcterms:W3CDTF">2021-07-07T18:16:00Z</dcterms:created>
  <dcterms:modified xsi:type="dcterms:W3CDTF">2021-07-07T18:17:00Z</dcterms:modified>
</cp:coreProperties>
</file>